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D7" w:rsidRPr="00403F4D" w:rsidRDefault="00284ED7" w:rsidP="00B145B1">
      <w:pPr>
        <w:pStyle w:val="Heading4"/>
        <w:ind w:left="5103" w:hanging="5103"/>
        <w:rPr>
          <w:rFonts w:cs="Cambria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4.05pt;margin-top:18.05pt;width:101.3pt;height:91.2pt;z-index:251659264;visibility:visible">
            <v:imagedata r:id="rId7" o:title="" croptop="22399f" cropbottom="16109f" cropleft="7789f" cropright="40817f"/>
            <w10:wrap type="square"/>
          </v:shape>
        </w:pict>
      </w:r>
      <w:r w:rsidRPr="00403F4D">
        <w:rPr>
          <w:rFonts w:cs="Cambria"/>
        </w:rPr>
        <w:t xml:space="preserve">                                                            </w:t>
      </w:r>
    </w:p>
    <w:p w:rsidR="00284ED7" w:rsidRPr="00685E4D" w:rsidRDefault="00284ED7" w:rsidP="00EC56F8">
      <w:pPr>
        <w:rPr>
          <w:rStyle w:val="BookTitle"/>
          <w:rFonts w:cs="Calibri"/>
          <w:sz w:val="24"/>
          <w:szCs w:val="24"/>
        </w:rPr>
      </w:pPr>
      <w:r w:rsidRPr="00685E4D">
        <w:rPr>
          <w:rStyle w:val="BookTitle"/>
          <w:rFonts w:cs="Calibri"/>
          <w:sz w:val="24"/>
          <w:szCs w:val="24"/>
        </w:rPr>
        <w:t>Organisme Agréé Accréditation CNCE</w:t>
      </w:r>
    </w:p>
    <w:p w:rsidR="00284ED7" w:rsidRPr="00685E4D" w:rsidRDefault="00284ED7" w:rsidP="00EC56F8">
      <w:pPr>
        <w:rPr>
          <w:rStyle w:val="BookTitle"/>
          <w:rFonts w:cs="Calibri"/>
          <w:sz w:val="24"/>
          <w:szCs w:val="24"/>
        </w:rPr>
      </w:pPr>
      <w:r w:rsidRPr="00685E4D">
        <w:rPr>
          <w:rStyle w:val="BookTitle"/>
          <w:rFonts w:cs="Calibri"/>
          <w:sz w:val="24"/>
          <w:szCs w:val="24"/>
        </w:rPr>
        <w:t>Hôpital d’enfants La Timone</w:t>
      </w:r>
    </w:p>
    <w:p w:rsidR="00284ED7" w:rsidRPr="00685E4D" w:rsidRDefault="00284ED7" w:rsidP="00EC56F8">
      <w:pPr>
        <w:rPr>
          <w:rStyle w:val="BookTitle"/>
          <w:rFonts w:cs="Calibri"/>
          <w:sz w:val="24"/>
          <w:szCs w:val="24"/>
        </w:rPr>
      </w:pPr>
      <w:r w:rsidRPr="00685E4D">
        <w:rPr>
          <w:rStyle w:val="BookTitle"/>
          <w:rFonts w:cs="Calibri"/>
          <w:sz w:val="24"/>
          <w:szCs w:val="24"/>
        </w:rPr>
        <w:t>264 rue Saint Pierre  13005 MARSEILLE</w:t>
      </w:r>
    </w:p>
    <w:p w:rsidR="00284ED7" w:rsidRPr="00EC56F8" w:rsidRDefault="00284ED7" w:rsidP="00EC56F8">
      <w:pPr>
        <w:rPr>
          <w:rStyle w:val="BookTitle"/>
        </w:rPr>
      </w:pPr>
    </w:p>
    <w:p w:rsidR="00284ED7" w:rsidRDefault="00284ED7" w:rsidP="00DC0C11">
      <w:pPr>
        <w:rPr>
          <w:rFonts w:cs="Calibri"/>
        </w:rPr>
      </w:pPr>
      <w:r w:rsidRPr="00DC0C11">
        <w:rPr>
          <w:rFonts w:cs="Calibri"/>
          <w:b/>
        </w:rPr>
        <w:t>Présidente</w:t>
      </w:r>
      <w:r w:rsidRPr="00DC0C11">
        <w:rPr>
          <w:rFonts w:cs="Calibri"/>
        </w:rPr>
        <w:t xml:space="preserve"> : </w:t>
      </w:r>
    </w:p>
    <w:p w:rsidR="00284ED7" w:rsidRPr="00DC0C11" w:rsidRDefault="00284ED7" w:rsidP="00DC0C11">
      <w:pPr>
        <w:rPr>
          <w:rFonts w:cs="Calibri"/>
        </w:rPr>
      </w:pPr>
      <w:r w:rsidRPr="00DC0C11">
        <w:rPr>
          <w:rFonts w:cs="Calibri"/>
        </w:rPr>
        <w:t>Dr Régine LECULEE</w:t>
      </w:r>
    </w:p>
    <w:p w:rsidR="00284ED7" w:rsidRDefault="00284ED7" w:rsidP="00DC0C11">
      <w:pPr>
        <w:rPr>
          <w:rFonts w:cs="Calibri"/>
          <w:sz w:val="18"/>
          <w:szCs w:val="18"/>
        </w:rPr>
      </w:pPr>
      <w:r w:rsidRPr="00DC0C11">
        <w:rPr>
          <w:rFonts w:cs="Calibri"/>
          <w:sz w:val="18"/>
          <w:szCs w:val="18"/>
        </w:rPr>
        <w:t xml:space="preserve">CCECQA, Hôpital Xavier Arnozan </w:t>
      </w:r>
    </w:p>
    <w:p w:rsidR="00284ED7" w:rsidRDefault="00284ED7" w:rsidP="00DC0C11">
      <w:pPr>
        <w:rPr>
          <w:rFonts w:cs="Calibri"/>
          <w:sz w:val="18"/>
          <w:szCs w:val="18"/>
        </w:rPr>
      </w:pPr>
      <w:r w:rsidRPr="00DC0C11">
        <w:rPr>
          <w:rFonts w:cs="Calibri"/>
          <w:sz w:val="18"/>
          <w:szCs w:val="18"/>
        </w:rPr>
        <w:t>33604 PESSAC Cedex</w:t>
      </w:r>
    </w:p>
    <w:p w:rsidR="00284ED7" w:rsidRPr="00DC0C11" w:rsidRDefault="00284ED7" w:rsidP="00DC0C11">
      <w:pPr>
        <w:rPr>
          <w:rFonts w:cs="Calibri"/>
          <w:sz w:val="18"/>
          <w:szCs w:val="18"/>
        </w:rPr>
      </w:pPr>
      <w:r>
        <w:rPr>
          <w:noProof/>
          <w:lang w:eastAsia="fr-FR"/>
        </w:rPr>
        <w:pict>
          <v:shape id="Image 1" o:spid="_x0000_s1027" type="#_x0000_t75" alt="https://www.ogdpc.fr/public/medias/organisme/pdf/GUIDE%20COMMUNICATION%202013/LOGO_ODPC_APRES300613.jpg" style="position:absolute;left:0;text-align:left;margin-left:301.45pt;margin-top:5pt;width:147.3pt;height:94.5pt;z-index:251658240;visibility:visible">
            <v:imagedata r:id="rId8" o:title=""/>
            <w10:wrap type="square"/>
          </v:shape>
        </w:pict>
      </w:r>
      <w:hyperlink r:id="rId9" w:history="1">
        <w:r w:rsidRPr="00B02AE4">
          <w:rPr>
            <w:rStyle w:val="Hyperlink"/>
            <w:rFonts w:cs="Calibri"/>
            <w:sz w:val="18"/>
            <w:szCs w:val="18"/>
          </w:rPr>
          <w:t>Regine.leculee@ccecqa.asso.fr</w:t>
        </w:r>
      </w:hyperlink>
      <w:r>
        <w:rPr>
          <w:rFonts w:cs="Calibri"/>
          <w:sz w:val="18"/>
          <w:szCs w:val="18"/>
        </w:rPr>
        <w:t xml:space="preserve"> </w:t>
      </w:r>
    </w:p>
    <w:p w:rsidR="00284ED7" w:rsidRDefault="00284ED7" w:rsidP="00EC56F8">
      <w:pPr>
        <w:rPr>
          <w:rFonts w:cs="Calibri"/>
        </w:rPr>
      </w:pPr>
      <w:r w:rsidRPr="00DC0C11">
        <w:rPr>
          <w:rFonts w:cs="Calibri"/>
          <w:b/>
        </w:rPr>
        <w:t>Gestionnaire/secrétaire</w:t>
      </w:r>
      <w:r w:rsidRPr="00DC0C11">
        <w:rPr>
          <w:rFonts w:cs="Calibri"/>
        </w:rPr>
        <w:t xml:space="preserve"> : </w:t>
      </w:r>
    </w:p>
    <w:p w:rsidR="00284ED7" w:rsidRPr="00DC0C11" w:rsidRDefault="00284ED7" w:rsidP="00EC56F8">
      <w:pPr>
        <w:rPr>
          <w:rFonts w:cs="Calibri"/>
        </w:rPr>
      </w:pPr>
      <w:r w:rsidRPr="00DC0C11">
        <w:rPr>
          <w:rFonts w:cs="Calibri"/>
        </w:rPr>
        <w:t>Dr Catherine LE ROUZIC</w:t>
      </w:r>
    </w:p>
    <w:p w:rsidR="00284ED7" w:rsidRDefault="00284ED7" w:rsidP="00EC56F8">
      <w:pPr>
        <w:rPr>
          <w:rFonts w:cs="Calibri"/>
          <w:sz w:val="18"/>
          <w:szCs w:val="18"/>
        </w:rPr>
      </w:pPr>
      <w:r w:rsidRPr="00DC0C11">
        <w:rPr>
          <w:rFonts w:cs="Calibri"/>
          <w:sz w:val="18"/>
          <w:szCs w:val="18"/>
        </w:rPr>
        <w:t xml:space="preserve">CHU Morvan, 2 avenue Foch </w:t>
      </w:r>
    </w:p>
    <w:p w:rsidR="00284ED7" w:rsidRDefault="00284ED7" w:rsidP="00EC56F8">
      <w:pPr>
        <w:rPr>
          <w:rFonts w:cs="Calibri"/>
          <w:sz w:val="18"/>
          <w:szCs w:val="18"/>
        </w:rPr>
      </w:pPr>
      <w:r w:rsidRPr="00DC0C11">
        <w:rPr>
          <w:rFonts w:cs="Calibri"/>
          <w:sz w:val="18"/>
          <w:szCs w:val="18"/>
        </w:rPr>
        <w:t>29609 BREST Cedex</w:t>
      </w:r>
    </w:p>
    <w:p w:rsidR="00284ED7" w:rsidRPr="00DC0C11" w:rsidRDefault="00284ED7" w:rsidP="00EC56F8">
      <w:pPr>
        <w:rPr>
          <w:rFonts w:cs="Calibri"/>
          <w:sz w:val="18"/>
          <w:szCs w:val="18"/>
        </w:rPr>
      </w:pPr>
      <w:hyperlink r:id="rId10" w:history="1">
        <w:r w:rsidRPr="00B02AE4">
          <w:rPr>
            <w:rStyle w:val="Hyperlink"/>
            <w:rFonts w:cs="Calibri"/>
            <w:sz w:val="18"/>
            <w:szCs w:val="18"/>
          </w:rPr>
          <w:t>Catherine.lerouzic-dartoy@chu-brest.fr</w:t>
        </w:r>
      </w:hyperlink>
      <w:r>
        <w:rPr>
          <w:rFonts w:cs="Calibri"/>
          <w:sz w:val="18"/>
          <w:szCs w:val="18"/>
        </w:rPr>
        <w:t xml:space="preserve"> </w:t>
      </w:r>
    </w:p>
    <w:p w:rsidR="00284ED7" w:rsidRDefault="00284ED7" w:rsidP="00EC56F8">
      <w:pPr>
        <w:rPr>
          <w:rFonts w:cs="Calibri"/>
        </w:rPr>
      </w:pPr>
      <w:r w:rsidRPr="00DC0C11">
        <w:rPr>
          <w:rFonts w:cs="Calibri"/>
          <w:b/>
        </w:rPr>
        <w:t>Trésorière </w:t>
      </w:r>
      <w:r w:rsidRPr="00DC0C11">
        <w:rPr>
          <w:rFonts w:cs="Calibri"/>
        </w:rPr>
        <w:t xml:space="preserve">: </w:t>
      </w:r>
    </w:p>
    <w:p w:rsidR="00284ED7" w:rsidRPr="00DC0C11" w:rsidRDefault="00284ED7" w:rsidP="00EC56F8">
      <w:pPr>
        <w:rPr>
          <w:rFonts w:cs="Calibri"/>
        </w:rPr>
      </w:pPr>
      <w:r w:rsidRPr="00DC0C11">
        <w:rPr>
          <w:rFonts w:cs="Calibri"/>
        </w:rPr>
        <w:t>Dr Marie Christine MAXIMIN</w:t>
      </w:r>
    </w:p>
    <w:p w:rsidR="00284ED7" w:rsidRDefault="00284ED7" w:rsidP="00EC56F8">
      <w:pPr>
        <w:rPr>
          <w:rFonts w:cs="Calibri"/>
          <w:sz w:val="18"/>
          <w:szCs w:val="18"/>
        </w:rPr>
      </w:pPr>
      <w:r w:rsidRPr="00DC0C11">
        <w:rPr>
          <w:rFonts w:cs="Calibri"/>
          <w:sz w:val="18"/>
          <w:szCs w:val="18"/>
        </w:rPr>
        <w:t xml:space="preserve">15 rue Henri Cheneaux </w:t>
      </w:r>
    </w:p>
    <w:p w:rsidR="00284ED7" w:rsidRPr="00DC0C11" w:rsidRDefault="00284ED7" w:rsidP="00EC56F8">
      <w:pPr>
        <w:rPr>
          <w:rFonts w:cs="Calibri"/>
          <w:sz w:val="18"/>
          <w:szCs w:val="18"/>
        </w:rPr>
      </w:pPr>
      <w:r w:rsidRPr="00DC0C11">
        <w:rPr>
          <w:rFonts w:cs="Calibri"/>
          <w:sz w:val="18"/>
          <w:szCs w:val="18"/>
        </w:rPr>
        <w:t>13008 MARSEILLE</w:t>
      </w:r>
    </w:p>
    <w:p w:rsidR="00284ED7" w:rsidRPr="00511C91" w:rsidRDefault="00284ED7">
      <w:pPr>
        <w:rPr>
          <w:rFonts w:cs="Calibri"/>
          <w:sz w:val="18"/>
          <w:szCs w:val="18"/>
        </w:rPr>
      </w:pPr>
      <w:hyperlink r:id="rId11" w:history="1">
        <w:r w:rsidRPr="00B02AE4">
          <w:rPr>
            <w:rStyle w:val="Hyperlink"/>
            <w:rFonts w:cs="Calibri"/>
            <w:sz w:val="18"/>
            <w:szCs w:val="18"/>
          </w:rPr>
          <w:t>mcgiacomelli@yahoo.fr</w:t>
        </w:r>
      </w:hyperlink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</w:rPr>
        <w:t>Bordeaux le 20 octobre 2012</w:t>
      </w:r>
    </w:p>
    <w:p w:rsidR="00284ED7" w:rsidRDefault="00284ED7">
      <w:pPr>
        <w:rPr>
          <w:rFonts w:cs="Calibri"/>
        </w:rPr>
      </w:pPr>
    </w:p>
    <w:p w:rsidR="00284ED7" w:rsidRDefault="00284ED7" w:rsidP="00511C91">
      <w:pPr>
        <w:rPr>
          <w:rFonts w:ascii="Trebuchet MS" w:hAnsi="Trebuchet MS"/>
        </w:rPr>
      </w:pPr>
    </w:p>
    <w:p w:rsidR="00284ED7" w:rsidRPr="00075C3C" w:rsidRDefault="00284ED7" w:rsidP="00511C91">
      <w:pPr>
        <w:rPr>
          <w:rFonts w:cs="Calibri"/>
        </w:rPr>
      </w:pPr>
      <w:r w:rsidRPr="00075C3C">
        <w:rPr>
          <w:rFonts w:cs="Calibri"/>
        </w:rPr>
        <w:t>Cher(e) ami(e), cher(e) collègue</w:t>
      </w:r>
    </w:p>
    <w:p w:rsidR="00284ED7" w:rsidRPr="00075C3C" w:rsidRDefault="00284ED7" w:rsidP="00511C91">
      <w:pPr>
        <w:rPr>
          <w:rFonts w:cs="Calibri"/>
        </w:rPr>
      </w:pPr>
    </w:p>
    <w:p w:rsidR="00284ED7" w:rsidRPr="00075C3C" w:rsidRDefault="00284ED7" w:rsidP="00511C91">
      <w:pPr>
        <w:rPr>
          <w:rFonts w:cs="Calibri"/>
        </w:rPr>
      </w:pPr>
      <w:r w:rsidRPr="00075C3C">
        <w:rPr>
          <w:rFonts w:cs="Calibri"/>
        </w:rPr>
        <w:t xml:space="preserve">L’OA CNCE a le plaisir de vous confirmer votre inscription  à </w:t>
      </w:r>
      <w:r>
        <w:rPr>
          <w:rFonts w:cs="Calibri"/>
          <w:b/>
        </w:rPr>
        <w:t>une journée</w:t>
      </w:r>
      <w:r w:rsidRPr="00075C3C">
        <w:rPr>
          <w:rFonts w:cs="Calibri"/>
          <w:b/>
        </w:rPr>
        <w:t xml:space="preserve"> de formation </w:t>
      </w:r>
      <w:r w:rsidRPr="00075C3C">
        <w:rPr>
          <w:rFonts w:cs="Calibri"/>
        </w:rPr>
        <w:t xml:space="preserve"> </w:t>
      </w:r>
    </w:p>
    <w:p w:rsidR="00284ED7" w:rsidRDefault="00284ED7" w:rsidP="00511C91">
      <w:pPr>
        <w:rPr>
          <w:rFonts w:cs="Calibri"/>
        </w:rPr>
      </w:pPr>
      <w:r w:rsidRPr="00075C3C">
        <w:rPr>
          <w:rFonts w:cs="Calibri"/>
        </w:rPr>
        <w:t>Qualité – Sécurité - Gestion des risques en partenariat avec la Haute Autorité de Santé le</w:t>
      </w:r>
    </w:p>
    <w:p w:rsidR="00284ED7" w:rsidRPr="00075C3C" w:rsidRDefault="00284ED7" w:rsidP="00511C91">
      <w:pPr>
        <w:rPr>
          <w:rFonts w:cs="Calibri"/>
        </w:rPr>
      </w:pPr>
    </w:p>
    <w:p w:rsidR="00284ED7" w:rsidRDefault="00284ED7" w:rsidP="00511C91">
      <w:pPr>
        <w:rPr>
          <w:rFonts w:ascii="Trebuchet MS" w:hAnsi="Trebuchet MS"/>
        </w:rPr>
      </w:pPr>
    </w:p>
    <w:p w:rsidR="00284ED7" w:rsidRPr="00393B00" w:rsidRDefault="00284ED7" w:rsidP="00511C91">
      <w:pPr>
        <w:jc w:val="center"/>
        <w:rPr>
          <w:b/>
          <w:bCs/>
          <w:color w:val="3366FF"/>
          <w:sz w:val="28"/>
          <w:szCs w:val="28"/>
        </w:rPr>
      </w:pPr>
      <w:r w:rsidRPr="00393B00">
        <w:rPr>
          <w:b/>
          <w:bCs/>
          <w:color w:val="3366FF"/>
          <w:sz w:val="28"/>
          <w:szCs w:val="28"/>
        </w:rPr>
        <w:t xml:space="preserve">vendredi </w:t>
      </w:r>
      <w:r>
        <w:rPr>
          <w:b/>
          <w:bCs/>
          <w:color w:val="3366FF"/>
          <w:sz w:val="28"/>
          <w:szCs w:val="28"/>
        </w:rPr>
        <w:t>15 novembre 2013</w:t>
      </w:r>
    </w:p>
    <w:p w:rsidR="00284ED7" w:rsidRPr="00511C91" w:rsidRDefault="00284ED7" w:rsidP="006F50BE">
      <w:pPr>
        <w:jc w:val="center"/>
        <w:rPr>
          <w:rFonts w:cs="Calibri"/>
          <w:b/>
          <w:bCs/>
        </w:rPr>
      </w:pPr>
      <w:r>
        <w:rPr>
          <w:rFonts w:cs="Calibri"/>
          <w:b/>
        </w:rPr>
        <w:t xml:space="preserve">Haute Autorité de Santé / site </w:t>
      </w:r>
      <w:r w:rsidRPr="00511C91">
        <w:rPr>
          <w:rFonts w:cs="Calibri"/>
          <w:b/>
          <w:bCs/>
        </w:rPr>
        <w:t>Le Stadium</w:t>
      </w:r>
    </w:p>
    <w:p w:rsidR="00284ED7" w:rsidRPr="00511C91" w:rsidRDefault="00284ED7" w:rsidP="00511C91">
      <w:pPr>
        <w:jc w:val="center"/>
        <w:rPr>
          <w:rFonts w:cs="Calibri"/>
          <w:b/>
        </w:rPr>
      </w:pPr>
      <w:r w:rsidRPr="00511C91">
        <w:rPr>
          <w:rFonts w:cs="Calibri"/>
          <w:b/>
        </w:rPr>
        <w:t>2</w:t>
      </w:r>
      <w:r>
        <w:rPr>
          <w:rFonts w:cs="Calibri"/>
          <w:b/>
        </w:rPr>
        <w:t>66</w:t>
      </w:r>
      <w:r w:rsidRPr="00511C91">
        <w:rPr>
          <w:rFonts w:cs="Calibri"/>
          <w:b/>
        </w:rPr>
        <w:t xml:space="preserve">, av </w:t>
      </w:r>
      <w:r>
        <w:rPr>
          <w:rFonts w:cs="Calibri"/>
          <w:b/>
        </w:rPr>
        <w:t>du président Wilson</w:t>
      </w:r>
    </w:p>
    <w:p w:rsidR="00284ED7" w:rsidRDefault="00284ED7" w:rsidP="00511C91">
      <w:pPr>
        <w:jc w:val="center"/>
        <w:rPr>
          <w:rFonts w:cs="Calibri"/>
          <w:b/>
        </w:rPr>
      </w:pPr>
      <w:r w:rsidRPr="00511C91">
        <w:rPr>
          <w:rFonts w:cs="Calibri"/>
          <w:b/>
        </w:rPr>
        <w:t>93218 Saint-Denis La Plaine CEDEX</w:t>
      </w:r>
    </w:p>
    <w:p w:rsidR="00284ED7" w:rsidRDefault="00284ED7" w:rsidP="000D695A">
      <w:pPr>
        <w:jc w:val="center"/>
        <w:rPr>
          <w:rFonts w:cs="Calibri"/>
          <w:b/>
          <w:color w:val="002060"/>
        </w:rPr>
      </w:pPr>
      <w:r>
        <w:rPr>
          <w:rFonts w:cs="Calibri"/>
          <w:b/>
          <w:color w:val="002060"/>
        </w:rPr>
        <w:t>Salle 608</w:t>
      </w:r>
    </w:p>
    <w:p w:rsidR="00284ED7" w:rsidRDefault="00284ED7" w:rsidP="000D695A">
      <w:pPr>
        <w:jc w:val="center"/>
        <w:rPr>
          <w:rFonts w:cs="Calibri"/>
          <w:b/>
          <w:color w:val="002060"/>
        </w:rPr>
      </w:pPr>
    </w:p>
    <w:p w:rsidR="00284ED7" w:rsidRDefault="00284ED7" w:rsidP="000D695A">
      <w:pPr>
        <w:jc w:val="center"/>
        <w:rPr>
          <w:rFonts w:cs="Calibri"/>
          <w:b/>
          <w:color w:val="002060"/>
        </w:rPr>
      </w:pPr>
    </w:p>
    <w:p w:rsidR="00284ED7" w:rsidRDefault="00284ED7" w:rsidP="000D695A">
      <w:pPr>
        <w:jc w:val="center"/>
        <w:rPr>
          <w:rFonts w:cs="Calibri"/>
          <w:b/>
          <w:color w:val="002060"/>
        </w:rPr>
      </w:pPr>
    </w:p>
    <w:p w:rsidR="00284ED7" w:rsidRPr="00EB6608" w:rsidRDefault="00284ED7" w:rsidP="00070A0C">
      <w:pPr>
        <w:pStyle w:val="BodyTextIndent"/>
        <w:spacing w:after="0" w:line="276" w:lineRule="auto"/>
        <w:ind w:left="0"/>
        <w:rPr>
          <w:rFonts w:cs="Calibri"/>
          <w:b/>
        </w:rPr>
      </w:pPr>
      <w:r w:rsidRPr="00EB6608">
        <w:rPr>
          <w:rFonts w:cs="Calibri"/>
          <w:b/>
        </w:rPr>
        <w:t>Objectifs pédagogiques :</w:t>
      </w:r>
    </w:p>
    <w:p w:rsidR="00284ED7" w:rsidRDefault="00284ED7" w:rsidP="00070A0C">
      <w:pPr>
        <w:pStyle w:val="BodyTextIndent"/>
        <w:numPr>
          <w:ilvl w:val="0"/>
          <w:numId w:val="6"/>
        </w:numPr>
        <w:spacing w:after="0" w:line="276" w:lineRule="auto"/>
        <w:jc w:val="left"/>
      </w:pPr>
      <w:r>
        <w:t>Identifier les situations à risques,</w:t>
      </w:r>
    </w:p>
    <w:p w:rsidR="00284ED7" w:rsidRDefault="00284ED7" w:rsidP="00070A0C">
      <w:pPr>
        <w:pStyle w:val="BodyTextIndent"/>
        <w:numPr>
          <w:ilvl w:val="0"/>
          <w:numId w:val="6"/>
        </w:numPr>
        <w:spacing w:after="0" w:line="276" w:lineRule="auto"/>
        <w:jc w:val="left"/>
      </w:pPr>
      <w:r>
        <w:t>Comprendre la dynamique de survenue d’un événement indésirable, grave ou non, les notions de causes immédiates et de facteurs latents dans une approche systémique,</w:t>
      </w:r>
    </w:p>
    <w:p w:rsidR="00284ED7" w:rsidRDefault="00284ED7" w:rsidP="00070A0C">
      <w:pPr>
        <w:pStyle w:val="BodyTextIndent"/>
        <w:numPr>
          <w:ilvl w:val="0"/>
          <w:numId w:val="6"/>
        </w:numPr>
        <w:spacing w:after="0" w:line="276" w:lineRule="auto"/>
        <w:jc w:val="left"/>
      </w:pPr>
      <w:r>
        <w:t>Connaître les principes des analyses approfondies de causes,</w:t>
      </w:r>
    </w:p>
    <w:p w:rsidR="00284ED7" w:rsidRDefault="00284ED7" w:rsidP="00070A0C">
      <w:pPr>
        <w:pStyle w:val="BodyTextIndent"/>
        <w:numPr>
          <w:ilvl w:val="0"/>
          <w:numId w:val="6"/>
        </w:numPr>
        <w:spacing w:after="0" w:line="276" w:lineRule="auto"/>
        <w:jc w:val="left"/>
      </w:pPr>
      <w:r>
        <w:t>Savoir identifier les barrières de prévention et de récupération à mettre en œuvre pour réduire les risques ou éviter la récurrence d’un événement indésirable.</w:t>
      </w:r>
    </w:p>
    <w:p w:rsidR="00284ED7" w:rsidRDefault="00284ED7" w:rsidP="003364FB">
      <w:pPr>
        <w:pStyle w:val="BodyTextIndent"/>
        <w:spacing w:after="0" w:line="276" w:lineRule="auto"/>
        <w:jc w:val="left"/>
      </w:pPr>
    </w:p>
    <w:p w:rsidR="00284ED7" w:rsidRDefault="00284ED7" w:rsidP="003364FB">
      <w:pPr>
        <w:pStyle w:val="BodyTextIndent"/>
        <w:spacing w:after="0" w:line="276" w:lineRule="auto"/>
        <w:jc w:val="left"/>
      </w:pPr>
    </w:p>
    <w:p w:rsidR="00284ED7" w:rsidRDefault="00284ED7" w:rsidP="003364FB">
      <w:pPr>
        <w:pStyle w:val="BodyTextIndent"/>
        <w:spacing w:after="0" w:line="276" w:lineRule="auto"/>
        <w:jc w:val="left"/>
      </w:pPr>
    </w:p>
    <w:p w:rsidR="00284ED7" w:rsidRDefault="00284ED7" w:rsidP="003364FB">
      <w:pPr>
        <w:pStyle w:val="BodyTextIndent"/>
        <w:spacing w:after="0" w:line="276" w:lineRule="auto"/>
        <w:jc w:val="left"/>
      </w:pPr>
    </w:p>
    <w:p w:rsidR="00284ED7" w:rsidRDefault="00284ED7" w:rsidP="003364FB">
      <w:pPr>
        <w:pStyle w:val="BodyTextIndent"/>
        <w:spacing w:after="0" w:line="276" w:lineRule="auto"/>
        <w:jc w:val="left"/>
      </w:pPr>
    </w:p>
    <w:p w:rsidR="00284ED7" w:rsidRDefault="00284ED7" w:rsidP="003364FB">
      <w:pPr>
        <w:pStyle w:val="BodyTextIndent"/>
        <w:spacing w:after="0" w:line="276" w:lineRule="auto"/>
        <w:jc w:val="left"/>
      </w:pPr>
    </w:p>
    <w:p w:rsidR="00284ED7" w:rsidRDefault="00284ED7" w:rsidP="003364FB">
      <w:pPr>
        <w:pStyle w:val="BodyTextIndent"/>
        <w:spacing w:after="0" w:line="276" w:lineRule="auto"/>
        <w:jc w:val="left"/>
      </w:pPr>
    </w:p>
    <w:p w:rsidR="00284ED7" w:rsidRDefault="00284ED7" w:rsidP="003364FB">
      <w:pPr>
        <w:pStyle w:val="BodyTextIndent"/>
        <w:spacing w:after="0" w:line="276" w:lineRule="auto"/>
        <w:jc w:val="left"/>
      </w:pPr>
    </w:p>
    <w:p w:rsidR="00284ED7" w:rsidRPr="00EB6608" w:rsidRDefault="00284ED7" w:rsidP="00EB6608">
      <w:pPr>
        <w:pStyle w:val="BodyTextIndent"/>
        <w:spacing w:after="0" w:line="276" w:lineRule="auto"/>
        <w:ind w:left="0"/>
        <w:rPr>
          <w:rFonts w:cs="Calibri"/>
          <w:b/>
        </w:rPr>
      </w:pPr>
      <w:r w:rsidRPr="00EB6608">
        <w:rPr>
          <w:rFonts w:cs="Calibri"/>
          <w:b/>
        </w:rPr>
        <w:t>Programme</w:t>
      </w:r>
    </w:p>
    <w:p w:rsidR="00284ED7" w:rsidRPr="000D695A" w:rsidRDefault="00284ED7" w:rsidP="000D695A">
      <w:pPr>
        <w:jc w:val="center"/>
        <w:rPr>
          <w:rFonts w:cs="Calibri"/>
          <w:b/>
          <w:color w:val="002060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002060"/>
        </w:rPr>
      </w:pPr>
      <w:r>
        <w:rPr>
          <w:color w:val="002060"/>
        </w:rPr>
        <w:t xml:space="preserve">9 h – 9 h 15 : Petit déjeuner d’accueil </w:t>
      </w:r>
    </w:p>
    <w:p w:rsidR="00284ED7" w:rsidRDefault="00284ED7" w:rsidP="00511C91">
      <w:pPr>
        <w:pStyle w:val="Paragraphedeliste2"/>
        <w:ind w:left="360"/>
        <w:jc w:val="left"/>
        <w:rPr>
          <w:color w:val="002060"/>
        </w:rPr>
      </w:pPr>
    </w:p>
    <w:p w:rsidR="00284ED7" w:rsidRPr="00DA7B5B" w:rsidRDefault="00284ED7" w:rsidP="00511C91">
      <w:pPr>
        <w:pStyle w:val="Paragraphedeliste2"/>
        <w:ind w:left="360"/>
        <w:jc w:val="left"/>
        <w:rPr>
          <w:color w:val="002060"/>
        </w:rPr>
      </w:pPr>
      <w:r>
        <w:rPr>
          <w:color w:val="002060"/>
        </w:rPr>
        <w:t xml:space="preserve">9 h 15 – 9 </w:t>
      </w:r>
      <w:r w:rsidRPr="00DA7B5B">
        <w:rPr>
          <w:color w:val="002060"/>
        </w:rPr>
        <w:t>h</w:t>
      </w:r>
      <w:r>
        <w:rPr>
          <w:color w:val="002060"/>
        </w:rPr>
        <w:t xml:space="preserve"> 30</w:t>
      </w:r>
      <w:r w:rsidRPr="00DA7B5B">
        <w:rPr>
          <w:color w:val="002060"/>
        </w:rPr>
        <w:t xml:space="preserve"> : </w:t>
      </w:r>
      <w:r>
        <w:rPr>
          <w:color w:val="002060"/>
        </w:rPr>
        <w:t>L</w:t>
      </w:r>
      <w:r w:rsidRPr="00DA7B5B">
        <w:rPr>
          <w:color w:val="002060"/>
        </w:rPr>
        <w:t>e « mot du président »</w:t>
      </w:r>
      <w:r>
        <w:rPr>
          <w:color w:val="002060"/>
        </w:rPr>
        <w:t xml:space="preserve"> du CNCE,</w:t>
      </w:r>
      <w:r w:rsidRPr="00DA7B5B">
        <w:rPr>
          <w:color w:val="002060"/>
        </w:rPr>
        <w:t xml:space="preserve"> la cohérence des démarches, </w:t>
      </w:r>
      <w:r>
        <w:rPr>
          <w:color w:val="002060"/>
        </w:rPr>
        <w:t>le DPC et les nouveaux statuts des organismes au sein de vos sociétés savantes</w:t>
      </w:r>
    </w:p>
    <w:p w:rsidR="00284ED7" w:rsidRDefault="00284ED7" w:rsidP="00511C91">
      <w:pPr>
        <w:pStyle w:val="Paragraphedeliste2"/>
        <w:ind w:left="1068" w:firstLine="348"/>
        <w:jc w:val="left"/>
        <w:rPr>
          <w:b/>
          <w:i/>
          <w:color w:val="002060"/>
        </w:rPr>
      </w:pPr>
      <w:r w:rsidRPr="001C4797">
        <w:rPr>
          <w:b/>
          <w:i/>
          <w:color w:val="002060"/>
        </w:rPr>
        <w:t>Jean-Michel GUYS</w:t>
      </w:r>
      <w:r>
        <w:rPr>
          <w:b/>
          <w:i/>
          <w:color w:val="002060"/>
        </w:rPr>
        <w:t xml:space="preserve"> </w:t>
      </w:r>
    </w:p>
    <w:p w:rsidR="00284ED7" w:rsidRPr="001C4797" w:rsidRDefault="00284ED7" w:rsidP="00511C91">
      <w:pPr>
        <w:pStyle w:val="Paragraphedeliste2"/>
        <w:ind w:left="1068" w:firstLine="348"/>
        <w:jc w:val="left"/>
        <w:rPr>
          <w:b/>
          <w:i/>
          <w:color w:val="002060"/>
        </w:rPr>
      </w:pPr>
    </w:p>
    <w:p w:rsidR="00284ED7" w:rsidRPr="00DA7B5B" w:rsidRDefault="00284ED7" w:rsidP="00511C91">
      <w:pPr>
        <w:pStyle w:val="Paragraphedeliste2"/>
        <w:ind w:left="360"/>
        <w:jc w:val="left"/>
        <w:rPr>
          <w:color w:val="002060"/>
        </w:rPr>
      </w:pPr>
      <w:r>
        <w:rPr>
          <w:color w:val="002060"/>
        </w:rPr>
        <w:t xml:space="preserve">9 </w:t>
      </w:r>
      <w:r w:rsidRPr="00DA7B5B">
        <w:rPr>
          <w:color w:val="002060"/>
        </w:rPr>
        <w:t>h</w:t>
      </w:r>
      <w:r>
        <w:rPr>
          <w:color w:val="002060"/>
        </w:rPr>
        <w:t xml:space="preserve"> 30 – 10</w:t>
      </w:r>
      <w:r w:rsidRPr="00DA7B5B">
        <w:rPr>
          <w:color w:val="002060"/>
        </w:rPr>
        <w:t xml:space="preserve"> h</w:t>
      </w:r>
      <w:r>
        <w:rPr>
          <w:color w:val="002060"/>
        </w:rPr>
        <w:t xml:space="preserve"> 30</w:t>
      </w:r>
      <w:r w:rsidRPr="00DA7B5B">
        <w:rPr>
          <w:color w:val="002060"/>
        </w:rPr>
        <w:t> : Principes et approche systémique de la gestion des risques associés aux soins.</w:t>
      </w:r>
    </w:p>
    <w:p w:rsidR="00284ED7" w:rsidRDefault="00284ED7" w:rsidP="00511C91">
      <w:pPr>
        <w:pStyle w:val="Paragraphedeliste2"/>
        <w:ind w:left="360"/>
        <w:jc w:val="left"/>
        <w:rPr>
          <w:b/>
          <w:i/>
          <w:color w:val="002060"/>
        </w:rPr>
      </w:pPr>
      <w:r w:rsidRPr="00DA7B5B">
        <w:rPr>
          <w:color w:val="002060"/>
        </w:rPr>
        <w:tab/>
        <w:t xml:space="preserve"> </w:t>
      </w:r>
      <w:r w:rsidRPr="00DA7B5B">
        <w:rPr>
          <w:color w:val="002060"/>
        </w:rPr>
        <w:tab/>
      </w:r>
      <w:r w:rsidRPr="001C4797">
        <w:rPr>
          <w:b/>
          <w:i/>
          <w:color w:val="002060"/>
        </w:rPr>
        <w:t>Régine LECULEE</w:t>
      </w:r>
    </w:p>
    <w:p w:rsidR="00284ED7" w:rsidRPr="001C4797" w:rsidRDefault="00284ED7" w:rsidP="00511C91">
      <w:pPr>
        <w:pStyle w:val="Paragraphedeliste2"/>
        <w:ind w:left="360"/>
        <w:jc w:val="left"/>
        <w:rPr>
          <w:b/>
          <w:i/>
          <w:color w:val="002060"/>
        </w:rPr>
      </w:pPr>
    </w:p>
    <w:p w:rsidR="00284ED7" w:rsidRPr="00DA7B5B" w:rsidRDefault="00284ED7" w:rsidP="00511C91">
      <w:pPr>
        <w:pStyle w:val="Paragraphedeliste2"/>
        <w:ind w:left="360"/>
        <w:jc w:val="left"/>
        <w:rPr>
          <w:color w:val="002060"/>
        </w:rPr>
      </w:pPr>
      <w:r>
        <w:rPr>
          <w:color w:val="002060"/>
        </w:rPr>
        <w:t xml:space="preserve">10 </w:t>
      </w:r>
      <w:r w:rsidRPr="00DA7B5B">
        <w:rPr>
          <w:color w:val="002060"/>
        </w:rPr>
        <w:t xml:space="preserve">h </w:t>
      </w:r>
      <w:r>
        <w:rPr>
          <w:color w:val="002060"/>
        </w:rPr>
        <w:t xml:space="preserve">30 </w:t>
      </w:r>
      <w:r w:rsidRPr="00DA7B5B">
        <w:rPr>
          <w:color w:val="002060"/>
        </w:rPr>
        <w:t>– 1</w:t>
      </w:r>
      <w:r>
        <w:rPr>
          <w:color w:val="002060"/>
        </w:rPr>
        <w:t>1</w:t>
      </w:r>
      <w:r w:rsidRPr="00DA7B5B">
        <w:rPr>
          <w:color w:val="002060"/>
        </w:rPr>
        <w:t xml:space="preserve"> h</w:t>
      </w:r>
      <w:r>
        <w:rPr>
          <w:color w:val="002060"/>
        </w:rPr>
        <w:t xml:space="preserve"> 30</w:t>
      </w:r>
      <w:r w:rsidRPr="00DA7B5B">
        <w:rPr>
          <w:color w:val="002060"/>
        </w:rPr>
        <w:t> : L’accréditation : Enjeux, obligations et modalités pratiques : EPR, Programme de la spécialité, Programme individuel, navigation sur le site.</w:t>
      </w:r>
    </w:p>
    <w:p w:rsidR="00284ED7" w:rsidRDefault="00284ED7" w:rsidP="00511C91">
      <w:pPr>
        <w:pStyle w:val="Paragraphedeliste2"/>
        <w:ind w:left="0"/>
        <w:jc w:val="left"/>
        <w:rPr>
          <w:b/>
          <w:i/>
          <w:color w:val="002060"/>
        </w:rPr>
      </w:pPr>
      <w:r w:rsidRPr="00DA7B5B">
        <w:rPr>
          <w:color w:val="002060"/>
        </w:rPr>
        <w:tab/>
      </w:r>
      <w:r w:rsidRPr="00DA7B5B">
        <w:rPr>
          <w:color w:val="002060"/>
        </w:rPr>
        <w:tab/>
      </w:r>
      <w:r w:rsidRPr="001C4797">
        <w:rPr>
          <w:b/>
          <w:i/>
          <w:color w:val="002060"/>
        </w:rPr>
        <w:t>Catherine LE ROUZIC</w:t>
      </w:r>
    </w:p>
    <w:p w:rsidR="00284ED7" w:rsidRPr="001C4797" w:rsidRDefault="00284ED7" w:rsidP="00511C91">
      <w:pPr>
        <w:pStyle w:val="Paragraphedeliste2"/>
        <w:ind w:left="0"/>
        <w:jc w:val="left"/>
        <w:rPr>
          <w:b/>
          <w:i/>
          <w:color w:val="002060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002060"/>
        </w:rPr>
      </w:pPr>
      <w:r>
        <w:rPr>
          <w:color w:val="002060"/>
        </w:rPr>
        <w:t>11</w:t>
      </w:r>
      <w:r w:rsidRPr="00DA7B5B">
        <w:rPr>
          <w:color w:val="002060"/>
        </w:rPr>
        <w:t xml:space="preserve"> h</w:t>
      </w:r>
      <w:r>
        <w:rPr>
          <w:color w:val="002060"/>
        </w:rPr>
        <w:t xml:space="preserve"> 30 – 12 h</w:t>
      </w:r>
      <w:r w:rsidRPr="00DA7B5B">
        <w:rPr>
          <w:color w:val="002060"/>
        </w:rPr>
        <w:t> : Retour d’Expérience : Les premiers enseignements des EPR et des enquêtes associées.</w:t>
      </w:r>
    </w:p>
    <w:p w:rsidR="00284ED7" w:rsidRPr="00DA7B5B" w:rsidRDefault="00284ED7" w:rsidP="00511C91">
      <w:pPr>
        <w:pStyle w:val="Paragraphedeliste2"/>
        <w:ind w:left="360"/>
        <w:jc w:val="left"/>
        <w:rPr>
          <w:color w:val="002060"/>
        </w:rPr>
      </w:pPr>
      <w:r>
        <w:rPr>
          <w:color w:val="002060"/>
        </w:rPr>
        <w:t>Le principe des « Solutions pour la Sécurité des Patients »  (SSP).</w:t>
      </w:r>
    </w:p>
    <w:p w:rsidR="00284ED7" w:rsidRDefault="00284ED7" w:rsidP="00511C91">
      <w:pPr>
        <w:pStyle w:val="Paragraphedeliste2"/>
        <w:ind w:left="360"/>
        <w:jc w:val="left"/>
        <w:rPr>
          <w:b/>
          <w:i/>
          <w:color w:val="002060"/>
        </w:rPr>
      </w:pPr>
      <w:r w:rsidRPr="00DA7B5B">
        <w:rPr>
          <w:color w:val="002060"/>
        </w:rPr>
        <w:tab/>
      </w:r>
      <w:r w:rsidRPr="00DA7B5B">
        <w:rPr>
          <w:color w:val="002060"/>
        </w:rPr>
        <w:tab/>
      </w:r>
      <w:r w:rsidRPr="001C4797">
        <w:rPr>
          <w:b/>
          <w:i/>
          <w:color w:val="002060"/>
        </w:rPr>
        <w:t>Régine LECULEE</w:t>
      </w:r>
      <w:r>
        <w:rPr>
          <w:b/>
          <w:i/>
          <w:color w:val="002060"/>
        </w:rPr>
        <w:t xml:space="preserve"> , Catherine LE ROUZIC</w:t>
      </w:r>
    </w:p>
    <w:p w:rsidR="00284ED7" w:rsidRPr="001C4797" w:rsidRDefault="00284ED7" w:rsidP="00511C91">
      <w:pPr>
        <w:pStyle w:val="Paragraphedeliste2"/>
        <w:ind w:left="360"/>
        <w:jc w:val="left"/>
        <w:rPr>
          <w:b/>
          <w:i/>
          <w:color w:val="002060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002060"/>
        </w:rPr>
      </w:pPr>
      <w:r>
        <w:rPr>
          <w:color w:val="002060"/>
        </w:rPr>
        <w:t>12 h</w:t>
      </w:r>
      <w:r w:rsidRPr="00DA7B5B">
        <w:rPr>
          <w:color w:val="002060"/>
        </w:rPr>
        <w:t xml:space="preserve"> – 13</w:t>
      </w:r>
      <w:r>
        <w:rPr>
          <w:color w:val="002060"/>
        </w:rPr>
        <w:t xml:space="preserve"> </w:t>
      </w:r>
      <w:r w:rsidRPr="00DA7B5B">
        <w:rPr>
          <w:color w:val="002060"/>
        </w:rPr>
        <w:t>h : échanges, débats avec les participants.</w:t>
      </w:r>
    </w:p>
    <w:p w:rsidR="00284ED7" w:rsidRPr="00511C91" w:rsidRDefault="00284ED7" w:rsidP="00511C91">
      <w:pPr>
        <w:pStyle w:val="Paragraphedeliste2"/>
        <w:ind w:left="360"/>
        <w:jc w:val="left"/>
        <w:rPr>
          <w:color w:val="002060"/>
        </w:rPr>
      </w:pPr>
    </w:p>
    <w:p w:rsidR="00284ED7" w:rsidRPr="00511C91" w:rsidRDefault="00284ED7" w:rsidP="00511C91">
      <w:pPr>
        <w:pStyle w:val="Paragraphedeliste2"/>
        <w:ind w:left="360"/>
        <w:jc w:val="center"/>
        <w:rPr>
          <w:b/>
        </w:rPr>
      </w:pPr>
      <w:r w:rsidRPr="00511C91">
        <w:rPr>
          <w:b/>
        </w:rPr>
        <w:t xml:space="preserve">13h- 14h : Déjeuner sur site </w:t>
      </w:r>
    </w:p>
    <w:p w:rsidR="00284ED7" w:rsidRDefault="00284ED7" w:rsidP="00511C91">
      <w:pPr>
        <w:pStyle w:val="Paragraphedeliste2"/>
        <w:ind w:left="360"/>
        <w:jc w:val="center"/>
        <w:rPr>
          <w:i/>
          <w:sz w:val="20"/>
          <w:szCs w:val="20"/>
        </w:rPr>
      </w:pPr>
    </w:p>
    <w:p w:rsidR="00284ED7" w:rsidRDefault="00284ED7" w:rsidP="00070A0C">
      <w:pPr>
        <w:pStyle w:val="Paragraphedeliste2"/>
        <w:ind w:left="360"/>
        <w:jc w:val="left"/>
        <w:rPr>
          <w:color w:val="002060"/>
        </w:rPr>
      </w:pPr>
      <w:r>
        <w:rPr>
          <w:color w:val="002060"/>
        </w:rPr>
        <w:t xml:space="preserve">14 </w:t>
      </w:r>
      <w:r w:rsidRPr="00DA7B5B">
        <w:rPr>
          <w:color w:val="002060"/>
        </w:rPr>
        <w:t>h</w:t>
      </w:r>
      <w:r>
        <w:rPr>
          <w:color w:val="002060"/>
        </w:rPr>
        <w:t xml:space="preserve"> – </w:t>
      </w:r>
      <w:r w:rsidRPr="00DA7B5B">
        <w:rPr>
          <w:color w:val="002060"/>
        </w:rPr>
        <w:t>1</w:t>
      </w:r>
      <w:r>
        <w:rPr>
          <w:color w:val="002060"/>
        </w:rPr>
        <w:t xml:space="preserve">6 </w:t>
      </w:r>
      <w:r w:rsidRPr="00DA7B5B">
        <w:rPr>
          <w:color w:val="002060"/>
        </w:rPr>
        <w:t xml:space="preserve">h : </w:t>
      </w:r>
      <w:r>
        <w:rPr>
          <w:color w:val="002060"/>
        </w:rPr>
        <w:t>Analyse conjointe de plusieurs EPR de la base REX sur le thème de la défaillance ou de l’indisponibilité du matériel spécifique en coelioscopie.</w:t>
      </w:r>
    </w:p>
    <w:p w:rsidR="00284ED7" w:rsidRDefault="00284ED7" w:rsidP="00070A0C">
      <w:pPr>
        <w:pStyle w:val="Paragraphedeliste2"/>
        <w:ind w:left="360"/>
        <w:jc w:val="left"/>
        <w:rPr>
          <w:b/>
          <w:i/>
          <w:color w:val="002060"/>
        </w:rPr>
      </w:pPr>
      <w:r>
        <w:rPr>
          <w:b/>
          <w:i/>
          <w:color w:val="002060"/>
        </w:rPr>
        <w:tab/>
      </w:r>
      <w:r>
        <w:rPr>
          <w:b/>
          <w:i/>
          <w:color w:val="002060"/>
        </w:rPr>
        <w:tab/>
        <w:t>Experts présent,</w:t>
      </w:r>
      <w:bookmarkStart w:id="0" w:name="_GoBack"/>
      <w:bookmarkEnd w:id="0"/>
      <w:r w:rsidRPr="003364FB">
        <w:rPr>
          <w:b/>
          <w:i/>
          <w:color w:val="002060"/>
        </w:rPr>
        <w:t xml:space="preserve">. </w:t>
      </w:r>
      <w:r>
        <w:rPr>
          <w:b/>
          <w:i/>
          <w:color w:val="002060"/>
        </w:rPr>
        <w:t>Jean BREAUD</w:t>
      </w:r>
    </w:p>
    <w:p w:rsidR="00284ED7" w:rsidRPr="003364FB" w:rsidRDefault="00284ED7" w:rsidP="00070A0C">
      <w:pPr>
        <w:pStyle w:val="Paragraphedeliste2"/>
        <w:ind w:left="360"/>
        <w:jc w:val="left"/>
        <w:rPr>
          <w:b/>
          <w:i/>
          <w:color w:val="002060"/>
        </w:rPr>
      </w:pPr>
    </w:p>
    <w:p w:rsidR="00284ED7" w:rsidRPr="00DA7B5B" w:rsidRDefault="00284ED7" w:rsidP="00511C91">
      <w:pPr>
        <w:pStyle w:val="Paragraphedeliste2"/>
        <w:ind w:left="360"/>
        <w:jc w:val="left"/>
        <w:rPr>
          <w:color w:val="002060"/>
        </w:rPr>
      </w:pPr>
      <w:r>
        <w:rPr>
          <w:color w:val="002060"/>
        </w:rPr>
        <w:t xml:space="preserve">16 </w:t>
      </w:r>
      <w:r w:rsidRPr="00DA7B5B">
        <w:rPr>
          <w:color w:val="002060"/>
        </w:rPr>
        <w:t>h</w:t>
      </w:r>
      <w:r>
        <w:rPr>
          <w:color w:val="002060"/>
        </w:rPr>
        <w:t xml:space="preserve"> – </w:t>
      </w:r>
      <w:r w:rsidRPr="00DA7B5B">
        <w:rPr>
          <w:color w:val="002060"/>
        </w:rPr>
        <w:t>1</w:t>
      </w:r>
      <w:r>
        <w:rPr>
          <w:color w:val="002060"/>
        </w:rPr>
        <w:t xml:space="preserve">7 </w:t>
      </w:r>
      <w:r w:rsidRPr="00DA7B5B">
        <w:rPr>
          <w:color w:val="002060"/>
        </w:rPr>
        <w:t xml:space="preserve">h : </w:t>
      </w:r>
      <w:r>
        <w:rPr>
          <w:color w:val="002060"/>
        </w:rPr>
        <w:t>Synthèse des barrières identifiées et élaboration de SSP.</w:t>
      </w:r>
    </w:p>
    <w:p w:rsidR="00284ED7" w:rsidRDefault="00284ED7" w:rsidP="00511C91">
      <w:pPr>
        <w:pStyle w:val="Paragraphedeliste2"/>
        <w:ind w:left="360"/>
        <w:jc w:val="left"/>
        <w:rPr>
          <w:b/>
          <w:i/>
          <w:color w:val="002060"/>
        </w:rPr>
      </w:pPr>
      <w:r w:rsidRPr="00DA7B5B">
        <w:rPr>
          <w:color w:val="002060"/>
        </w:rPr>
        <w:tab/>
      </w:r>
      <w:r w:rsidRPr="00DA7B5B">
        <w:rPr>
          <w:color w:val="002060"/>
        </w:rPr>
        <w:tab/>
      </w:r>
      <w:r w:rsidRPr="003364FB">
        <w:rPr>
          <w:b/>
          <w:i/>
          <w:color w:val="002060"/>
        </w:rPr>
        <w:t>Experts présents,</w:t>
      </w:r>
      <w:r>
        <w:rPr>
          <w:color w:val="002060"/>
        </w:rPr>
        <w:t xml:space="preserve"> </w:t>
      </w:r>
      <w:r w:rsidRPr="001C4797">
        <w:rPr>
          <w:b/>
          <w:i/>
          <w:color w:val="002060"/>
        </w:rPr>
        <w:t>Philippe CHEVALIER – HAS</w:t>
      </w:r>
    </w:p>
    <w:p w:rsidR="00284ED7" w:rsidRPr="001C4797" w:rsidRDefault="00284ED7" w:rsidP="00511C91">
      <w:pPr>
        <w:pStyle w:val="Paragraphedeliste2"/>
        <w:ind w:left="360"/>
        <w:jc w:val="left"/>
        <w:rPr>
          <w:b/>
          <w:i/>
          <w:color w:val="002060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002060"/>
        </w:rPr>
      </w:pPr>
      <w:r w:rsidRPr="00DA7B5B">
        <w:rPr>
          <w:color w:val="002060"/>
        </w:rPr>
        <w:t>16h30 : Fin de la formation.</w:t>
      </w:r>
    </w:p>
    <w:p w:rsidR="00284ED7" w:rsidRDefault="00284ED7" w:rsidP="00511C91">
      <w:pPr>
        <w:pStyle w:val="Paragraphedeliste2"/>
        <w:ind w:left="360"/>
        <w:jc w:val="left"/>
        <w:rPr>
          <w:color w:val="002060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002060"/>
        </w:rPr>
      </w:pPr>
    </w:p>
    <w:p w:rsidR="00284ED7" w:rsidRDefault="00284ED7" w:rsidP="00D3541D">
      <w:pPr>
        <w:pStyle w:val="BodyTextIndent"/>
        <w:spacing w:line="276" w:lineRule="auto"/>
        <w:ind w:left="0"/>
        <w:jc w:val="left"/>
      </w:pPr>
      <w:r>
        <w:t>Un dossier pédagogique (supports de cours, outils présentés) et un dossier documentaire (articles, recommandations de bonnes pratiques, liens utiles) sont remis aux participants.</w:t>
      </w:r>
    </w:p>
    <w:p w:rsidR="00284ED7" w:rsidRDefault="00284ED7" w:rsidP="003364FB">
      <w:pPr>
        <w:pStyle w:val="BodyTextIndent"/>
        <w:spacing w:line="276" w:lineRule="auto"/>
        <w:ind w:left="360"/>
        <w:jc w:val="left"/>
      </w:pPr>
    </w:p>
    <w:p w:rsidR="00284ED7" w:rsidRPr="00D3541D" w:rsidRDefault="00284ED7" w:rsidP="00D3541D">
      <w:pPr>
        <w:pStyle w:val="BodyTextIndent"/>
        <w:spacing w:after="0" w:line="276" w:lineRule="auto"/>
        <w:ind w:left="0"/>
        <w:rPr>
          <w:rFonts w:cs="Calibri"/>
          <w:b/>
        </w:rPr>
      </w:pPr>
      <w:r w:rsidRPr="00D3541D">
        <w:rPr>
          <w:rFonts w:cs="Calibri"/>
          <w:b/>
        </w:rPr>
        <w:t xml:space="preserve">Evaluation </w:t>
      </w:r>
    </w:p>
    <w:p w:rsidR="00284ED7" w:rsidRDefault="00284ED7" w:rsidP="003364FB">
      <w:pPr>
        <w:pStyle w:val="BodyTextIndent"/>
        <w:spacing w:line="276" w:lineRule="auto"/>
        <w:ind w:left="360"/>
        <w:jc w:val="left"/>
      </w:pPr>
      <w:r>
        <w:t>Elle sera réalisée en fin de formation et permettra d’évaluer la satisfaction et les connaissances acquises.</w:t>
      </w:r>
    </w:p>
    <w:p w:rsidR="00284ED7" w:rsidRPr="00DA7B5B" w:rsidRDefault="00284ED7" w:rsidP="00511C91">
      <w:pPr>
        <w:pStyle w:val="Paragraphedeliste2"/>
        <w:ind w:left="360"/>
        <w:jc w:val="left"/>
        <w:rPr>
          <w:color w:val="002060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  <w:r w:rsidRPr="00E15AA2">
        <w:rPr>
          <w:color w:val="3366FF"/>
        </w:rPr>
        <w:tab/>
        <w:t xml:space="preserve">      </w:t>
      </w: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</w:p>
    <w:p w:rsidR="00284ED7" w:rsidRDefault="00284ED7" w:rsidP="00511C91">
      <w:pPr>
        <w:pStyle w:val="Paragraphedeliste2"/>
        <w:ind w:left="360"/>
        <w:jc w:val="left"/>
        <w:rPr>
          <w:color w:val="3366FF"/>
        </w:rPr>
      </w:pPr>
    </w:p>
    <w:p w:rsidR="00284ED7" w:rsidRDefault="00284ED7" w:rsidP="00511C91">
      <w:pPr>
        <w:pStyle w:val="Paragraphedeliste2"/>
        <w:ind w:left="360"/>
        <w:jc w:val="left"/>
      </w:pPr>
    </w:p>
    <w:p w:rsidR="00284ED7" w:rsidRDefault="00284ED7" w:rsidP="00511C91">
      <w:pPr>
        <w:jc w:val="center"/>
        <w:rPr>
          <w:noProof/>
        </w:rPr>
      </w:pPr>
      <w:r w:rsidRPr="000B3359">
        <w:rPr>
          <w:noProof/>
          <w:lang w:eastAsia="fr-FR"/>
        </w:rPr>
        <w:pict>
          <v:shape id="Image 4" o:spid="_x0000_i1025" type="#_x0000_t75" style="width:471.75pt;height:73.5pt;visibility:visible">
            <v:imagedata r:id="rId12" o:title=""/>
          </v:shape>
        </w:pict>
      </w:r>
    </w:p>
    <w:p w:rsidR="00284ED7" w:rsidRDefault="00284ED7" w:rsidP="00511C91">
      <w:pPr>
        <w:rPr>
          <w:rFonts w:ascii="Trebuchet MS" w:hAnsi="Trebuchet MS"/>
          <w:b/>
          <w:u w:val="single"/>
        </w:rPr>
      </w:pPr>
      <w:r>
        <w:rPr>
          <w:noProof/>
          <w:lang w:eastAsia="fr-FR"/>
        </w:rPr>
        <w:pict>
          <v:rect id="Rectangle 6" o:spid="_x0000_s1028" style="position:absolute;left:0;text-align:left;margin-left:400.15pt;margin-top:242.45pt;width:89.25pt;height:150.75pt;z-index:251656192;visibility:visible" strokecolor="#c00000" strokeweight="1pt">
            <v:textbox>
              <w:txbxContent>
                <w:p w:rsidR="00284ED7" w:rsidRPr="00075C3C" w:rsidRDefault="00284ED7" w:rsidP="00511C91">
                  <w:pPr>
                    <w:rPr>
                      <w:rFonts w:cs="Calibri"/>
                      <w:b/>
                      <w:color w:val="FF0000"/>
                      <w:sz w:val="96"/>
                      <w:szCs w:val="96"/>
                    </w:rPr>
                  </w:pPr>
                  <w:r w:rsidRPr="00075C3C">
                    <w:rPr>
                      <w:rFonts w:cs="Calibri"/>
                      <w:b/>
                      <w:color w:val="FF0000"/>
                      <w:sz w:val="36"/>
                      <w:szCs w:val="36"/>
                    </w:rPr>
                    <w:t xml:space="preserve">L’entrée du Stadium est </w:t>
                  </w:r>
                  <w:r w:rsidRPr="00075C3C">
                    <w:rPr>
                      <w:rFonts w:cs="Calibri"/>
                      <w:b/>
                      <w:color w:val="FF0000"/>
                      <w:sz w:val="96"/>
                      <w:szCs w:val="96"/>
                    </w:rPr>
                    <w:t>ICI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5" o:spid="_x0000_s1029" type="#_x0000_t32" style="position:absolute;left:0;text-align:left;margin-left:196.9pt;margin-top:321.2pt;width:203.25pt;height:9pt;flip:x;z-index:251657216;visibility:visible" strokecolor="#c00000" strokeweight="3pt">
            <v:stroke endarrow="block"/>
          </v:shape>
        </w:pict>
      </w:r>
      <w:r w:rsidRPr="00DB28D3">
        <w:rPr>
          <w:rFonts w:ascii="Trebuchet MS" w:hAnsi="Trebuchet MS"/>
          <w:b/>
          <w:noProof/>
          <w:u w:val="single"/>
          <w:lang w:eastAsia="fr-FR"/>
        </w:rPr>
        <w:pict>
          <v:shape id="Image 3" o:spid="_x0000_i1026" type="#_x0000_t75" style="width:376.5pt;height:381pt;visibility:visible">
            <v:imagedata r:id="rId13" o:title="" cropright="2002f"/>
          </v:shape>
        </w:pict>
      </w:r>
    </w:p>
    <w:p w:rsidR="00284ED7" w:rsidRDefault="00284ED7" w:rsidP="00511C91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Cs/>
          <w:color w:val="5075AC"/>
        </w:rPr>
      </w:pPr>
    </w:p>
    <w:p w:rsidR="00284ED7" w:rsidRPr="00075C3C" w:rsidRDefault="00284ED7" w:rsidP="00511C91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Cs/>
          <w:color w:val="5075AC"/>
        </w:rPr>
      </w:pPr>
      <w:r w:rsidRPr="00075C3C">
        <w:rPr>
          <w:rStyle w:val="Strong"/>
          <w:rFonts w:ascii="Calibri" w:hAnsi="Calibri" w:cs="Calibri"/>
          <w:bCs/>
          <w:color w:val="5075AC"/>
        </w:rPr>
        <w:t xml:space="preserve">RER : </w:t>
      </w:r>
      <w:r w:rsidRPr="00075C3C">
        <w:rPr>
          <w:rStyle w:val="Strong"/>
          <w:rFonts w:ascii="Calibri" w:hAnsi="Calibri" w:cs="Calibri"/>
          <w:bCs/>
          <w:color w:val="FF0000"/>
        </w:rPr>
        <w:t>Attention : les tickets de métro ne sont pas valides ; il faut un ticket « Zone 2 »</w:t>
      </w:r>
      <w:r w:rsidRPr="00075C3C">
        <w:rPr>
          <w:rStyle w:val="Strong"/>
          <w:rFonts w:ascii="Calibri" w:hAnsi="Calibri" w:cs="Calibri"/>
          <w:bCs/>
          <w:color w:val="5075AC"/>
        </w:rPr>
        <w:t xml:space="preserve"> </w:t>
      </w:r>
    </w:p>
    <w:p w:rsidR="00284ED7" w:rsidRPr="00075C3C" w:rsidRDefault="00284ED7" w:rsidP="00511C9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3C">
        <w:rPr>
          <w:rStyle w:val="Strong"/>
          <w:rFonts w:ascii="Calibri" w:hAnsi="Calibri" w:cs="Calibri"/>
          <w:bCs/>
        </w:rPr>
        <w:t>RER B</w:t>
      </w:r>
      <w:r w:rsidRPr="00075C3C">
        <w:rPr>
          <w:rFonts w:ascii="Calibri" w:hAnsi="Calibri" w:cs="Calibri"/>
        </w:rPr>
        <w:t xml:space="preserve"> : arrêt “La Plaine Stade de France”</w:t>
      </w:r>
    </w:p>
    <w:p w:rsidR="00284ED7" w:rsidRPr="00075C3C" w:rsidRDefault="00284ED7" w:rsidP="00511C91">
      <w:pPr>
        <w:numPr>
          <w:ilvl w:val="0"/>
          <w:numId w:val="1"/>
        </w:numPr>
        <w:jc w:val="left"/>
        <w:rPr>
          <w:rFonts w:cs="Calibri"/>
        </w:rPr>
      </w:pPr>
      <w:r w:rsidRPr="00075C3C">
        <w:rPr>
          <w:rFonts w:cs="Calibri"/>
        </w:rPr>
        <w:t>Site Stadium (266 avenue du Président Wilson) à 5 mn à pied</w:t>
      </w:r>
    </w:p>
    <w:p w:rsidR="00284ED7" w:rsidRPr="00075C3C" w:rsidRDefault="00284ED7" w:rsidP="00511C9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3C">
        <w:rPr>
          <w:rStyle w:val="Strong"/>
          <w:rFonts w:ascii="Calibri" w:hAnsi="Calibri" w:cs="Calibri"/>
          <w:bCs/>
        </w:rPr>
        <w:t>RER D</w:t>
      </w:r>
      <w:r w:rsidRPr="00075C3C">
        <w:rPr>
          <w:rFonts w:ascii="Calibri" w:hAnsi="Calibri" w:cs="Calibri"/>
        </w:rPr>
        <w:t xml:space="preserve"> : arrêt “Saint-Denis - Stade de France ”</w:t>
      </w:r>
    </w:p>
    <w:p w:rsidR="00284ED7" w:rsidRPr="00511C91" w:rsidRDefault="00284ED7" w:rsidP="00511C91">
      <w:pPr>
        <w:numPr>
          <w:ilvl w:val="0"/>
          <w:numId w:val="2"/>
        </w:numPr>
        <w:jc w:val="left"/>
        <w:rPr>
          <w:rStyle w:val="Strong"/>
          <w:rFonts w:cs="Calibri"/>
          <w:b w:val="0"/>
        </w:rPr>
      </w:pPr>
      <w:r w:rsidRPr="00075C3C">
        <w:rPr>
          <w:rFonts w:cs="Calibri"/>
        </w:rPr>
        <w:t>Site Stadium (266 avenue du Président Wilson) à 5 mn à pied</w:t>
      </w:r>
    </w:p>
    <w:p w:rsidR="00284ED7" w:rsidRPr="00075C3C" w:rsidRDefault="00284ED7" w:rsidP="00511C9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3C">
        <w:rPr>
          <w:rStyle w:val="Strong"/>
          <w:rFonts w:ascii="Calibri" w:hAnsi="Calibri" w:cs="Calibri"/>
          <w:bCs/>
          <w:color w:val="5075AC"/>
        </w:rPr>
        <w:t>METRO</w:t>
      </w:r>
      <w:r w:rsidRPr="00075C3C">
        <w:rPr>
          <w:rFonts w:ascii="Calibri" w:hAnsi="Calibri" w:cs="Calibri"/>
        </w:rPr>
        <w:br/>
      </w:r>
      <w:r w:rsidRPr="00075C3C">
        <w:rPr>
          <w:rStyle w:val="Strong"/>
          <w:rFonts w:ascii="Calibri" w:hAnsi="Calibri" w:cs="Calibri"/>
          <w:bCs/>
        </w:rPr>
        <w:t>Ligne 13</w:t>
      </w:r>
      <w:r w:rsidRPr="00075C3C">
        <w:rPr>
          <w:rFonts w:ascii="Calibri" w:hAnsi="Calibri" w:cs="Calibri"/>
        </w:rPr>
        <w:t xml:space="preserve"> : arrêt “Portes de Paris”</w:t>
      </w:r>
    </w:p>
    <w:p w:rsidR="00284ED7" w:rsidRPr="00511C91" w:rsidRDefault="00284ED7" w:rsidP="00511C91">
      <w:pPr>
        <w:numPr>
          <w:ilvl w:val="0"/>
          <w:numId w:val="3"/>
        </w:numPr>
        <w:jc w:val="left"/>
        <w:rPr>
          <w:rStyle w:val="Strong"/>
          <w:rFonts w:cs="Calibri"/>
          <w:b w:val="0"/>
        </w:rPr>
      </w:pPr>
      <w:r w:rsidRPr="00075C3C">
        <w:rPr>
          <w:rFonts w:cs="Calibri"/>
        </w:rPr>
        <w:t>Site Stadium (266 avenue du Président Wilson). Prendre la ligne de bus 153 (5 à 10 minutes de trajet). Arrêt : Wilson - De Pressensé</w:t>
      </w:r>
    </w:p>
    <w:p w:rsidR="00284ED7" w:rsidRPr="00075C3C" w:rsidRDefault="00284ED7" w:rsidP="00511C9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3C">
        <w:rPr>
          <w:rStyle w:val="Strong"/>
          <w:rFonts w:ascii="Calibri" w:hAnsi="Calibri" w:cs="Calibri"/>
          <w:bCs/>
          <w:color w:val="5075AC"/>
        </w:rPr>
        <w:t>LIAISONS ROUTIÈRES</w:t>
      </w:r>
    </w:p>
    <w:p w:rsidR="00284ED7" w:rsidRPr="00075C3C" w:rsidRDefault="00284ED7" w:rsidP="00511C91">
      <w:pPr>
        <w:numPr>
          <w:ilvl w:val="0"/>
          <w:numId w:val="4"/>
        </w:numPr>
        <w:jc w:val="left"/>
        <w:rPr>
          <w:rFonts w:cs="Calibri"/>
        </w:rPr>
      </w:pPr>
      <w:r w:rsidRPr="00075C3C">
        <w:rPr>
          <w:rStyle w:val="Strong"/>
          <w:rFonts w:cs="Calibri"/>
          <w:bCs/>
        </w:rPr>
        <w:t xml:space="preserve">A1 </w:t>
      </w:r>
      <w:r w:rsidRPr="00075C3C">
        <w:rPr>
          <w:rFonts w:cs="Calibri"/>
        </w:rPr>
        <w:t>: sur le périphérique, à hauteur de la Porte de la Chapelle, prendre autoroute A1, puis la sortie n°2 direction St Denis / Stade de France.</w:t>
      </w:r>
    </w:p>
    <w:p w:rsidR="00284ED7" w:rsidRPr="00075C3C" w:rsidRDefault="00284ED7" w:rsidP="00511C91">
      <w:pPr>
        <w:numPr>
          <w:ilvl w:val="0"/>
          <w:numId w:val="4"/>
        </w:numPr>
        <w:jc w:val="left"/>
        <w:rPr>
          <w:rFonts w:cs="Calibri"/>
        </w:rPr>
      </w:pPr>
      <w:r w:rsidRPr="00075C3C">
        <w:rPr>
          <w:rStyle w:val="Strong"/>
          <w:rFonts w:cs="Calibri"/>
          <w:bCs/>
        </w:rPr>
        <w:t xml:space="preserve">A86 </w:t>
      </w:r>
      <w:r w:rsidRPr="00075C3C">
        <w:rPr>
          <w:rFonts w:cs="Calibri"/>
        </w:rPr>
        <w:t>: sortie n°9, direction Stade de France / St Denis la Plaine.</w:t>
      </w:r>
    </w:p>
    <w:p w:rsidR="00284ED7" w:rsidRPr="00075C3C" w:rsidRDefault="00284ED7" w:rsidP="00511C9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075C3C">
        <w:rPr>
          <w:rStyle w:val="Strong"/>
          <w:rFonts w:ascii="Calibri" w:hAnsi="Calibri" w:cs="Calibri"/>
          <w:bCs/>
        </w:rPr>
        <w:t>Parking</w:t>
      </w:r>
    </w:p>
    <w:p w:rsidR="00284ED7" w:rsidRPr="00345018" w:rsidRDefault="00284ED7" w:rsidP="00511C91">
      <w:pPr>
        <w:numPr>
          <w:ilvl w:val="0"/>
          <w:numId w:val="5"/>
        </w:numPr>
        <w:jc w:val="left"/>
        <w:rPr>
          <w:rFonts w:cs="Calibri"/>
        </w:rPr>
      </w:pPr>
      <w:r w:rsidRPr="00075C3C">
        <w:rPr>
          <w:rFonts w:cs="Calibri"/>
        </w:rPr>
        <w:t>Site Stadium : entrée située 3 rue Francis de Pressens</w:t>
      </w:r>
      <w:r>
        <w:rPr>
          <w:rFonts w:cs="Calibri"/>
        </w:rPr>
        <w:t>é</w:t>
      </w:r>
    </w:p>
    <w:sectPr w:rsidR="00284ED7" w:rsidRPr="00345018" w:rsidSect="00345018">
      <w:footerReference w:type="default" r:id="rId14"/>
      <w:pgSz w:w="12240" w:h="15840"/>
      <w:pgMar w:top="851" w:right="1041" w:bottom="426" w:left="1417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D7" w:rsidRDefault="00284ED7" w:rsidP="00177ED3">
      <w:r>
        <w:separator/>
      </w:r>
    </w:p>
  </w:endnote>
  <w:endnote w:type="continuationSeparator" w:id="0">
    <w:p w:rsidR="00284ED7" w:rsidRDefault="00284ED7" w:rsidP="0017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D7" w:rsidRDefault="00284ED7" w:rsidP="00345018">
    <w:pPr>
      <w:pStyle w:val="Footer"/>
    </w:pPr>
    <w:r>
      <w:t>CNCE/programme formation GR</w:t>
    </w:r>
    <w:r>
      <w:tab/>
      <w:t xml:space="preserve"> 15-11-2013/RL             Page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>/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                                                                                                                                                       </w:t>
    </w:r>
  </w:p>
  <w:p w:rsidR="00284ED7" w:rsidRDefault="00284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D7" w:rsidRDefault="00284ED7" w:rsidP="00177ED3">
      <w:r>
        <w:separator/>
      </w:r>
    </w:p>
  </w:footnote>
  <w:footnote w:type="continuationSeparator" w:id="0">
    <w:p w:rsidR="00284ED7" w:rsidRDefault="00284ED7" w:rsidP="0017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1BE"/>
    <w:multiLevelType w:val="multilevel"/>
    <w:tmpl w:val="A180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578B6"/>
    <w:multiLevelType w:val="hybridMultilevel"/>
    <w:tmpl w:val="68FAB7D4"/>
    <w:lvl w:ilvl="0" w:tplc="45EAB7FE">
      <w:start w:val="3"/>
      <w:numFmt w:val="bullet"/>
      <w:lvlText w:val="-"/>
      <w:lvlJc w:val="left"/>
      <w:pPr>
        <w:ind w:left="106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497E2378"/>
    <w:multiLevelType w:val="multilevel"/>
    <w:tmpl w:val="AF62F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BB6F10"/>
    <w:multiLevelType w:val="multilevel"/>
    <w:tmpl w:val="0E5C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D6111"/>
    <w:multiLevelType w:val="multilevel"/>
    <w:tmpl w:val="3F56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E0E28"/>
    <w:multiLevelType w:val="multilevel"/>
    <w:tmpl w:val="6BDC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F66F8"/>
    <w:multiLevelType w:val="multilevel"/>
    <w:tmpl w:val="FB1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088"/>
    <w:rsid w:val="00002088"/>
    <w:rsid w:val="00070A0C"/>
    <w:rsid w:val="00075C3C"/>
    <w:rsid w:val="0008650E"/>
    <w:rsid w:val="000A4234"/>
    <w:rsid w:val="000B3359"/>
    <w:rsid w:val="000D695A"/>
    <w:rsid w:val="001547A7"/>
    <w:rsid w:val="00177ED3"/>
    <w:rsid w:val="001C4797"/>
    <w:rsid w:val="001E3DEB"/>
    <w:rsid w:val="002319F6"/>
    <w:rsid w:val="00284ED7"/>
    <w:rsid w:val="002C2DAC"/>
    <w:rsid w:val="0030347D"/>
    <w:rsid w:val="003042FD"/>
    <w:rsid w:val="00306BB5"/>
    <w:rsid w:val="003114C3"/>
    <w:rsid w:val="003364FB"/>
    <w:rsid w:val="00345018"/>
    <w:rsid w:val="00393B00"/>
    <w:rsid w:val="00396DE2"/>
    <w:rsid w:val="003A0B3B"/>
    <w:rsid w:val="00403F4D"/>
    <w:rsid w:val="00415248"/>
    <w:rsid w:val="00451B3E"/>
    <w:rsid w:val="004B059A"/>
    <w:rsid w:val="00511049"/>
    <w:rsid w:val="00511C91"/>
    <w:rsid w:val="005A3243"/>
    <w:rsid w:val="005C4D26"/>
    <w:rsid w:val="006541F6"/>
    <w:rsid w:val="00681E99"/>
    <w:rsid w:val="00684083"/>
    <w:rsid w:val="00685E4D"/>
    <w:rsid w:val="006F1275"/>
    <w:rsid w:val="006F50BE"/>
    <w:rsid w:val="007156C1"/>
    <w:rsid w:val="007162BB"/>
    <w:rsid w:val="00775450"/>
    <w:rsid w:val="00780D9E"/>
    <w:rsid w:val="007A76E2"/>
    <w:rsid w:val="0083489B"/>
    <w:rsid w:val="008634C9"/>
    <w:rsid w:val="00866F6D"/>
    <w:rsid w:val="008E5B87"/>
    <w:rsid w:val="009033A9"/>
    <w:rsid w:val="009B123E"/>
    <w:rsid w:val="009D223F"/>
    <w:rsid w:val="00A337EE"/>
    <w:rsid w:val="00A4022C"/>
    <w:rsid w:val="00A47FF0"/>
    <w:rsid w:val="00A51E39"/>
    <w:rsid w:val="00A52DBB"/>
    <w:rsid w:val="00AB1A21"/>
    <w:rsid w:val="00B02AE4"/>
    <w:rsid w:val="00B06027"/>
    <w:rsid w:val="00B145B1"/>
    <w:rsid w:val="00B21541"/>
    <w:rsid w:val="00B534D0"/>
    <w:rsid w:val="00BB639D"/>
    <w:rsid w:val="00C74D59"/>
    <w:rsid w:val="00CF4223"/>
    <w:rsid w:val="00D3541D"/>
    <w:rsid w:val="00D46D5B"/>
    <w:rsid w:val="00DA7B5B"/>
    <w:rsid w:val="00DB28D3"/>
    <w:rsid w:val="00DC0C11"/>
    <w:rsid w:val="00E1242C"/>
    <w:rsid w:val="00E15AA2"/>
    <w:rsid w:val="00E92143"/>
    <w:rsid w:val="00EB6608"/>
    <w:rsid w:val="00EB6798"/>
    <w:rsid w:val="00EC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F8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22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022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022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022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022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347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ED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E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ED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EDF"/>
    <w:rPr>
      <w:rFonts w:asciiTheme="minorHAnsi" w:eastAsiaTheme="minorEastAsia" w:hAnsiTheme="minorHAnsi" w:cstheme="minorBidi"/>
      <w:b/>
      <w:bCs/>
      <w:lang w:eastAsia="en-US"/>
    </w:rPr>
  </w:style>
  <w:style w:type="paragraph" w:styleId="BodyText3">
    <w:name w:val="Body Text 3"/>
    <w:basedOn w:val="Normal"/>
    <w:link w:val="BodyText3Char"/>
    <w:uiPriority w:val="99"/>
    <w:rsid w:val="00A4022C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2EDF"/>
    <w:rPr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0020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3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DF"/>
    <w:rPr>
      <w:rFonts w:ascii="Times New Roman" w:hAnsi="Times New Roman"/>
      <w:sz w:val="0"/>
      <w:szCs w:val="0"/>
      <w:lang w:eastAsia="en-US"/>
    </w:rPr>
  </w:style>
  <w:style w:type="paragraph" w:customStyle="1" w:styleId="Paragraphedeliste1">
    <w:name w:val="Paragraphe de liste1"/>
    <w:basedOn w:val="Normal"/>
    <w:uiPriority w:val="99"/>
    <w:rsid w:val="00393B00"/>
    <w:pPr>
      <w:ind w:left="720"/>
      <w:contextualSpacing/>
    </w:pPr>
  </w:style>
  <w:style w:type="character" w:styleId="IntenseReference">
    <w:name w:val="Intense Reference"/>
    <w:basedOn w:val="DefaultParagraphFont"/>
    <w:uiPriority w:val="99"/>
    <w:qFormat/>
    <w:rsid w:val="00EC56F8"/>
    <w:rPr>
      <w:rFonts w:cs="Times New Roman"/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EC56F8"/>
    <w:pPr>
      <w:ind w:left="720"/>
      <w:contextualSpacing/>
    </w:pPr>
  </w:style>
  <w:style w:type="character" w:styleId="BookTitle">
    <w:name w:val="Book Title"/>
    <w:basedOn w:val="DefaultParagraphFont"/>
    <w:uiPriority w:val="99"/>
    <w:qFormat/>
    <w:rsid w:val="00EC56F8"/>
    <w:rPr>
      <w:rFonts w:cs="Times New Roman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C56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C56F8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177E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7E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D3"/>
    <w:rPr>
      <w:rFonts w:cs="Times New Roman"/>
    </w:rPr>
  </w:style>
  <w:style w:type="paragraph" w:customStyle="1" w:styleId="Paragraphedeliste2">
    <w:name w:val="Paragraphe de liste2"/>
    <w:basedOn w:val="Normal"/>
    <w:uiPriority w:val="99"/>
    <w:rsid w:val="00511C91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semiHidden/>
    <w:rsid w:val="00511C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99"/>
    <w:qFormat/>
    <w:rsid w:val="00511C91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semiHidden/>
    <w:rsid w:val="003034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34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giacomelli@yahoo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therine.lerouzic-dartoy@chu-bres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ne.leculee@ccecqa.asso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582</Words>
  <Characters>3202</Characters>
  <Application>Microsoft Office Outlook</Application>
  <DocSecurity>0</DocSecurity>
  <Lines>0</Lines>
  <Paragraphs>0</Paragraphs>
  <ScaleCrop>false</ScaleCrop>
  <Company>Fournier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«Civ» «Prénom» «Nom_Ind»</dc:title>
  <dc:subject/>
  <dc:creator>gauthm</dc:creator>
  <cp:keywords/>
  <dc:description/>
  <cp:lastModifiedBy>clr</cp:lastModifiedBy>
  <cp:revision>2</cp:revision>
  <cp:lastPrinted>2012-10-22T10:51:00Z</cp:lastPrinted>
  <dcterms:created xsi:type="dcterms:W3CDTF">2013-09-09T13:59:00Z</dcterms:created>
  <dcterms:modified xsi:type="dcterms:W3CDTF">2013-09-09T13:59:00Z</dcterms:modified>
</cp:coreProperties>
</file>