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9E" w:rsidRDefault="0089059E" w:rsidP="0089059E">
      <w:pPr>
        <w:pStyle w:val="Titre2"/>
        <w:rPr>
          <w:color w:val="000080"/>
          <w:szCs w:val="40"/>
        </w:rPr>
      </w:pPr>
      <w:r>
        <w:rPr>
          <w:color w:val="000080"/>
          <w:szCs w:val="40"/>
        </w:rPr>
        <w:t xml:space="preserve">Grille d’évaluation scientifique </w:t>
      </w:r>
    </w:p>
    <w:p w:rsidR="0089059E" w:rsidRDefault="007412A5" w:rsidP="0089059E">
      <w:pPr>
        <w:pStyle w:val="Titre2"/>
        <w:rPr>
          <w:szCs w:val="40"/>
        </w:rPr>
      </w:pPr>
      <w:r>
        <w:rPr>
          <w:color w:val="000080"/>
          <w:szCs w:val="40"/>
        </w:rPr>
        <w:t>Bourses jeunes chercheurs 2021</w:t>
      </w:r>
      <w:bookmarkStart w:id="0" w:name="_GoBack"/>
      <w:bookmarkEnd w:id="0"/>
    </w:p>
    <w:p w:rsidR="0089059E" w:rsidRDefault="0089059E"/>
    <w:p w:rsidR="0089059E" w:rsidRDefault="0089059E" w:rsidP="001C087C">
      <w:pPr>
        <w:jc w:val="both"/>
      </w:pPr>
      <w:r w:rsidRPr="0089059E">
        <w:rPr>
          <w:b/>
        </w:rPr>
        <w:t xml:space="preserve">Pour être éligibles, les projets doivent </w:t>
      </w:r>
      <w:r>
        <w:rPr>
          <w:b/>
        </w:rPr>
        <w:t xml:space="preserve">être déposés par des demandeurs </w:t>
      </w:r>
      <w:r w:rsidRPr="00D035FA">
        <w:rPr>
          <w:b/>
        </w:rPr>
        <w:t>habilités.</w:t>
      </w:r>
      <w:r>
        <w:t xml:space="preserve"> </w:t>
      </w:r>
    </w:p>
    <w:p w:rsidR="0089059E" w:rsidRDefault="0089059E" w:rsidP="001C087C">
      <w:pPr>
        <w:jc w:val="both"/>
      </w:pPr>
      <w:r>
        <w:t>Cette recherche est destinée à tous les établissements publics. L’investigateur coordonnateur doit être membre d’une équipe hospitalière en chirurgie pédiatrique</w:t>
      </w:r>
      <w:r w:rsidR="00BB6C5E">
        <w:t>, et avoir moins de 35 ans</w:t>
      </w:r>
      <w:r>
        <w:t xml:space="preserve">. </w:t>
      </w:r>
    </w:p>
    <w:p w:rsidR="0089059E" w:rsidRPr="0089059E" w:rsidRDefault="0089059E" w:rsidP="001C087C">
      <w:pPr>
        <w:jc w:val="both"/>
        <w:rPr>
          <w:b/>
        </w:rPr>
      </w:pPr>
      <w:r w:rsidRPr="0089059E">
        <w:rPr>
          <w:b/>
        </w:rPr>
        <w:t xml:space="preserve">Champ thématique et cadre financier </w:t>
      </w:r>
    </w:p>
    <w:p w:rsidR="0089059E" w:rsidRDefault="0089059E" w:rsidP="001C087C">
      <w:pPr>
        <w:jc w:val="both"/>
      </w:pPr>
      <w:r>
        <w:t xml:space="preserve">Cet appel d'offres est lancé par </w:t>
      </w:r>
      <w:r w:rsidR="001C087C">
        <w:t xml:space="preserve">la </w:t>
      </w:r>
      <w:r w:rsidR="001C087C" w:rsidRPr="001C087C">
        <w:t xml:space="preserve">SFCP, </w:t>
      </w:r>
      <w:r w:rsidR="001C087C">
        <w:t xml:space="preserve">la </w:t>
      </w:r>
      <w:r w:rsidR="001C087C" w:rsidRPr="001C087C">
        <w:t xml:space="preserve">SFUPA </w:t>
      </w:r>
      <w:r w:rsidR="001C087C">
        <w:t xml:space="preserve">et la </w:t>
      </w:r>
      <w:r w:rsidR="001C087C" w:rsidRPr="001C087C">
        <w:t xml:space="preserve"> SFCPP</w:t>
      </w:r>
      <w:r w:rsidR="001C087C">
        <w:t xml:space="preserve">. Les projets soumis aux </w:t>
      </w:r>
      <w:r w:rsidR="001C087C">
        <w:rPr>
          <w:color w:val="000000"/>
        </w:rPr>
        <w:t xml:space="preserve">rapporteurs </w:t>
      </w:r>
      <w:r>
        <w:t>de</w:t>
      </w:r>
      <w:r w:rsidR="001C087C">
        <w:t xml:space="preserve">s 3 sociétés </w:t>
      </w:r>
      <w:r>
        <w:t xml:space="preserve">doivent donc répondre </w:t>
      </w:r>
      <w:r w:rsidR="001C087C">
        <w:t>à leur</w:t>
      </w:r>
      <w:r>
        <w:t xml:space="preserve"> champ thématique.</w:t>
      </w:r>
    </w:p>
    <w:p w:rsidR="0089059E" w:rsidRDefault="0089059E" w:rsidP="001C087C">
      <w:pPr>
        <w:jc w:val="both"/>
      </w:pPr>
      <w:r>
        <w:t>Il est convenu que le financement attribuable pour les projets soumis intègre le type de projet, sa complexité, la présence d’autres sources de financement, son lieu de réalisation. La source du co-financement et son montant doivent être clairement exposés. L'obtention du co-financement devra être prouvée par les porteurs de projet pour pouvoir bénéficier du financement par le présent appel d'offres si le projet est retenu.</w:t>
      </w:r>
    </w:p>
    <w:p w:rsidR="0089059E" w:rsidRPr="0089059E" w:rsidRDefault="0089059E" w:rsidP="001C087C">
      <w:pPr>
        <w:pStyle w:val="Titre"/>
        <w:ind w:right="283"/>
        <w:jc w:val="both"/>
        <w:rPr>
          <w:rFonts w:ascii="Calibri" w:eastAsia="Calibri" w:hAnsi="Calibri" w:cs="Times New Roman"/>
          <w:bCs w:val="0"/>
          <w:sz w:val="22"/>
          <w:szCs w:val="22"/>
          <w:lang w:eastAsia="en-US"/>
        </w:rPr>
      </w:pPr>
      <w:r>
        <w:rPr>
          <w:rFonts w:ascii="Calibri" w:eastAsia="Calibri" w:hAnsi="Calibri" w:cs="Times New Roman"/>
          <w:bCs w:val="0"/>
          <w:sz w:val="22"/>
          <w:szCs w:val="22"/>
          <w:lang w:eastAsia="en-US"/>
        </w:rPr>
        <w:t>G</w:t>
      </w:r>
      <w:r w:rsidRPr="0089059E">
        <w:rPr>
          <w:rFonts w:ascii="Calibri" w:eastAsia="Calibri" w:hAnsi="Calibri" w:cs="Times New Roman"/>
          <w:bCs w:val="0"/>
          <w:sz w:val="22"/>
          <w:szCs w:val="22"/>
          <w:lang w:eastAsia="en-US"/>
        </w:rPr>
        <w:t>rille d’expertise</w:t>
      </w:r>
    </w:p>
    <w:p w:rsidR="0089059E" w:rsidRDefault="0089059E" w:rsidP="001C087C">
      <w:pPr>
        <w:pStyle w:val="Titre"/>
        <w:ind w:right="283"/>
        <w:jc w:val="both"/>
        <w:rPr>
          <w:rFonts w:ascii="Times New Roman" w:hAnsi="Times New Roman" w:cs="Times New Roman"/>
          <w:b w:val="0"/>
          <w:bCs w:val="0"/>
          <w:sz w:val="20"/>
        </w:rPr>
      </w:pPr>
    </w:p>
    <w:p w:rsidR="0089059E" w:rsidRPr="00F974C9" w:rsidRDefault="0089059E" w:rsidP="001C087C">
      <w:pPr>
        <w:pStyle w:val="Titre"/>
        <w:ind w:right="1"/>
        <w:jc w:val="both"/>
        <w:rPr>
          <w:rFonts w:ascii="Calibri" w:eastAsia="Calibri" w:hAnsi="Calibri" w:cs="Times New Roman"/>
          <w:b w:val="0"/>
          <w:bCs w:val="0"/>
          <w:sz w:val="22"/>
          <w:szCs w:val="22"/>
          <w:lang w:eastAsia="en-US"/>
        </w:rPr>
      </w:pPr>
      <w:r w:rsidRPr="00F974C9">
        <w:rPr>
          <w:rFonts w:ascii="Calibri" w:eastAsia="Calibri" w:hAnsi="Calibri" w:cs="Times New Roman"/>
          <w:b w:val="0"/>
          <w:bCs w:val="0"/>
          <w:sz w:val="22"/>
          <w:szCs w:val="22"/>
          <w:lang w:eastAsia="en-US"/>
        </w:rPr>
        <w:t>La grille d’évaluation a été préparée pour harmoniser une lecture critique de dossiers. Elle vise à permettre les comparaisons entre les jugements de valeur qui concluent l’analyse de chaque demande et doit permettre de faciliter la sélection des dossiers dans le cadre de l’appel d’offre.</w:t>
      </w:r>
      <w:r w:rsidR="00F974C9" w:rsidRPr="00F974C9">
        <w:rPr>
          <w:rFonts w:ascii="Calibri" w:eastAsia="Calibri" w:hAnsi="Calibri" w:cs="Times New Roman"/>
          <w:b w:val="0"/>
          <w:bCs w:val="0"/>
          <w:sz w:val="22"/>
          <w:szCs w:val="22"/>
          <w:lang w:eastAsia="en-US"/>
        </w:rPr>
        <w:t xml:space="preserve"> </w:t>
      </w:r>
      <w:r w:rsidRPr="00F974C9">
        <w:rPr>
          <w:rFonts w:ascii="Calibri" w:eastAsia="Calibri" w:hAnsi="Calibri" w:cs="Times New Roman"/>
          <w:b w:val="0"/>
          <w:bCs w:val="0"/>
          <w:sz w:val="22"/>
          <w:szCs w:val="22"/>
          <w:lang w:eastAsia="en-US"/>
        </w:rPr>
        <w:t>L’expertise est anonyme. S</w:t>
      </w:r>
      <w:r w:rsidR="00F974C9" w:rsidRPr="00F974C9">
        <w:rPr>
          <w:rFonts w:ascii="Calibri" w:eastAsia="Calibri" w:hAnsi="Calibri" w:cs="Times New Roman"/>
          <w:b w:val="0"/>
          <w:bCs w:val="0"/>
          <w:sz w:val="22"/>
          <w:szCs w:val="22"/>
          <w:lang w:eastAsia="en-US"/>
        </w:rPr>
        <w:t>on objectif est d’être sélectif</w:t>
      </w:r>
      <w:r w:rsidRPr="00F974C9">
        <w:rPr>
          <w:rFonts w:ascii="Calibri" w:eastAsia="Calibri" w:hAnsi="Calibri" w:cs="Times New Roman"/>
          <w:b w:val="0"/>
          <w:bCs w:val="0"/>
          <w:sz w:val="22"/>
          <w:szCs w:val="22"/>
          <w:lang w:eastAsia="en-US"/>
        </w:rPr>
        <w:t xml:space="preserve">. </w:t>
      </w:r>
    </w:p>
    <w:p w:rsidR="0089059E" w:rsidRDefault="0089059E" w:rsidP="001C087C">
      <w:pPr>
        <w:pStyle w:val="Titre"/>
        <w:ind w:right="1"/>
        <w:jc w:val="both"/>
        <w:rPr>
          <w:rFonts w:ascii="Times New Roman" w:hAnsi="Times New Roman" w:cs="Times New Roman"/>
          <w:sz w:val="20"/>
        </w:rPr>
      </w:pPr>
    </w:p>
    <w:p w:rsidR="0089059E" w:rsidRPr="00F974C9" w:rsidRDefault="0089059E" w:rsidP="001C087C">
      <w:pPr>
        <w:pStyle w:val="Titre"/>
        <w:ind w:right="1"/>
        <w:jc w:val="both"/>
        <w:rPr>
          <w:rFonts w:ascii="Calibri" w:eastAsia="Calibri" w:hAnsi="Calibri" w:cs="Times New Roman"/>
          <w:b w:val="0"/>
          <w:bCs w:val="0"/>
          <w:sz w:val="22"/>
          <w:szCs w:val="22"/>
          <w:u w:val="single"/>
          <w:lang w:eastAsia="en-US"/>
        </w:rPr>
      </w:pPr>
      <w:r w:rsidRPr="00F974C9">
        <w:rPr>
          <w:rFonts w:ascii="Calibri" w:eastAsia="Calibri" w:hAnsi="Calibri" w:cs="Times New Roman"/>
          <w:b w:val="0"/>
          <w:bCs w:val="0"/>
          <w:sz w:val="22"/>
          <w:szCs w:val="22"/>
          <w:u w:val="single"/>
          <w:lang w:eastAsia="en-US"/>
        </w:rPr>
        <w:t>1) Méthodologie Générale:</w:t>
      </w:r>
    </w:p>
    <w:p w:rsidR="0089059E" w:rsidRPr="00F974C9" w:rsidRDefault="0089059E" w:rsidP="001C087C">
      <w:pPr>
        <w:pStyle w:val="Titre"/>
        <w:ind w:right="1"/>
        <w:jc w:val="both"/>
        <w:rPr>
          <w:rFonts w:ascii="Calibri" w:eastAsia="Calibri" w:hAnsi="Calibri" w:cs="Times New Roman"/>
          <w:b w:val="0"/>
          <w:bCs w:val="0"/>
          <w:sz w:val="22"/>
          <w:szCs w:val="22"/>
          <w:lang w:eastAsia="en-US"/>
        </w:rPr>
      </w:pPr>
      <w:r w:rsidRPr="00F974C9">
        <w:rPr>
          <w:rFonts w:ascii="Calibri" w:eastAsia="Calibri" w:hAnsi="Calibri" w:cs="Times New Roman"/>
          <w:b w:val="0"/>
          <w:bCs w:val="0"/>
          <w:sz w:val="22"/>
          <w:szCs w:val="22"/>
          <w:lang w:eastAsia="en-US"/>
        </w:rPr>
        <w:t>Il est demandé de vérifier la clarté de la justification de l'essai</w:t>
      </w:r>
      <w:r w:rsidR="00F974C9" w:rsidRPr="00F974C9">
        <w:rPr>
          <w:rFonts w:ascii="Calibri" w:eastAsia="Calibri" w:hAnsi="Calibri" w:cs="Times New Roman"/>
          <w:b w:val="0"/>
          <w:bCs w:val="0"/>
          <w:sz w:val="22"/>
          <w:szCs w:val="22"/>
          <w:lang w:eastAsia="en-US"/>
        </w:rPr>
        <w:t xml:space="preserve">. </w:t>
      </w:r>
      <w:r w:rsidRPr="00F974C9">
        <w:rPr>
          <w:rFonts w:ascii="Calibri" w:eastAsia="Calibri" w:hAnsi="Calibri" w:cs="Times New Roman"/>
          <w:b w:val="0"/>
          <w:bCs w:val="0"/>
          <w:sz w:val="22"/>
          <w:szCs w:val="22"/>
          <w:lang w:eastAsia="en-US"/>
        </w:rPr>
        <w:t>L’adéquation des méthodes à la question posée est un pré requis absolu.</w:t>
      </w:r>
    </w:p>
    <w:p w:rsidR="0089059E" w:rsidRDefault="0089059E" w:rsidP="001C087C">
      <w:pPr>
        <w:pStyle w:val="Titre"/>
        <w:ind w:right="1"/>
        <w:jc w:val="both"/>
        <w:rPr>
          <w:rFonts w:ascii="Times New Roman" w:hAnsi="Times New Roman" w:cs="Times New Roman"/>
          <w:b w:val="0"/>
          <w:bCs w:val="0"/>
          <w:sz w:val="12"/>
          <w:szCs w:val="12"/>
        </w:rPr>
      </w:pPr>
    </w:p>
    <w:p w:rsidR="0089059E" w:rsidRPr="00F974C9" w:rsidRDefault="0089059E" w:rsidP="001C087C">
      <w:pPr>
        <w:pStyle w:val="Titre"/>
        <w:ind w:right="1"/>
        <w:jc w:val="both"/>
        <w:rPr>
          <w:rFonts w:ascii="Calibri" w:eastAsia="Calibri" w:hAnsi="Calibri" w:cs="Times New Roman"/>
          <w:b w:val="0"/>
          <w:bCs w:val="0"/>
          <w:sz w:val="22"/>
          <w:szCs w:val="22"/>
          <w:u w:val="single"/>
          <w:lang w:eastAsia="en-US"/>
        </w:rPr>
      </w:pPr>
      <w:r w:rsidRPr="00F974C9">
        <w:rPr>
          <w:rFonts w:ascii="Calibri" w:eastAsia="Calibri" w:hAnsi="Calibri" w:cs="Times New Roman"/>
          <w:b w:val="0"/>
          <w:bCs w:val="0"/>
          <w:sz w:val="22"/>
          <w:szCs w:val="22"/>
          <w:u w:val="single"/>
          <w:lang w:eastAsia="en-US"/>
        </w:rPr>
        <w:t>2) Originalité :</w:t>
      </w:r>
    </w:p>
    <w:p w:rsidR="0089059E" w:rsidRDefault="0089059E" w:rsidP="001C087C">
      <w:pPr>
        <w:pStyle w:val="Titre"/>
        <w:ind w:right="1"/>
        <w:jc w:val="both"/>
        <w:rPr>
          <w:rFonts w:ascii="Times New Roman" w:hAnsi="Times New Roman" w:cs="Times New Roman"/>
          <w:b w:val="0"/>
          <w:bCs w:val="0"/>
          <w:sz w:val="20"/>
        </w:rPr>
      </w:pPr>
      <w:r w:rsidRPr="00F974C9">
        <w:rPr>
          <w:rFonts w:ascii="Calibri" w:eastAsia="Calibri" w:hAnsi="Calibri" w:cs="Times New Roman"/>
          <w:b w:val="0"/>
          <w:bCs w:val="0"/>
          <w:sz w:val="22"/>
          <w:szCs w:val="22"/>
          <w:lang w:eastAsia="en-US"/>
        </w:rPr>
        <w:t>Il est nécessaire de vé</w:t>
      </w:r>
      <w:r w:rsidR="00F974C9">
        <w:rPr>
          <w:rFonts w:ascii="Calibri" w:eastAsia="Calibri" w:hAnsi="Calibri" w:cs="Times New Roman"/>
          <w:b w:val="0"/>
          <w:bCs w:val="0"/>
          <w:sz w:val="22"/>
          <w:szCs w:val="22"/>
          <w:lang w:eastAsia="en-US"/>
        </w:rPr>
        <w:t xml:space="preserve">rifier la bibliographie dans le domaine </w:t>
      </w:r>
      <w:r w:rsidRPr="00F974C9">
        <w:rPr>
          <w:rFonts w:ascii="Calibri" w:eastAsia="Calibri" w:hAnsi="Calibri" w:cs="Times New Roman"/>
          <w:b w:val="0"/>
          <w:bCs w:val="0"/>
          <w:sz w:val="22"/>
          <w:szCs w:val="22"/>
          <w:lang w:eastAsia="en-US"/>
        </w:rPr>
        <w:t>afin de préciser comment se situe le projet dans le champ actuel des connaissances.</w:t>
      </w:r>
    </w:p>
    <w:p w:rsidR="0089059E" w:rsidRDefault="0089059E" w:rsidP="001C087C">
      <w:pPr>
        <w:pStyle w:val="Titre"/>
        <w:ind w:right="1"/>
        <w:jc w:val="both"/>
        <w:rPr>
          <w:rFonts w:ascii="Times New Roman" w:hAnsi="Times New Roman" w:cs="Times New Roman"/>
          <w:b w:val="0"/>
          <w:bCs w:val="0"/>
          <w:sz w:val="12"/>
          <w:szCs w:val="12"/>
        </w:rPr>
      </w:pPr>
    </w:p>
    <w:p w:rsidR="0089059E" w:rsidRDefault="0089059E" w:rsidP="001C087C">
      <w:pPr>
        <w:pStyle w:val="Titre"/>
        <w:ind w:right="1"/>
        <w:jc w:val="both"/>
        <w:rPr>
          <w:rFonts w:ascii="Times New Roman" w:hAnsi="Times New Roman" w:cs="Times New Roman"/>
          <w:b w:val="0"/>
          <w:bCs w:val="0"/>
          <w:sz w:val="12"/>
          <w:szCs w:val="12"/>
        </w:rPr>
      </w:pPr>
    </w:p>
    <w:p w:rsidR="0089059E" w:rsidRPr="00F974C9" w:rsidRDefault="0089059E" w:rsidP="001C087C">
      <w:pPr>
        <w:pStyle w:val="Titre"/>
        <w:ind w:right="1"/>
        <w:jc w:val="both"/>
        <w:rPr>
          <w:rFonts w:ascii="Calibri" w:eastAsia="Calibri" w:hAnsi="Calibri" w:cs="Times New Roman"/>
          <w:b w:val="0"/>
          <w:bCs w:val="0"/>
          <w:sz w:val="22"/>
          <w:szCs w:val="22"/>
          <w:u w:val="single"/>
          <w:lang w:eastAsia="en-US"/>
        </w:rPr>
      </w:pPr>
      <w:r w:rsidRPr="00F974C9">
        <w:rPr>
          <w:rFonts w:ascii="Calibri" w:eastAsia="Calibri" w:hAnsi="Calibri" w:cs="Times New Roman"/>
          <w:b w:val="0"/>
          <w:bCs w:val="0"/>
          <w:sz w:val="22"/>
          <w:szCs w:val="22"/>
          <w:u w:val="single"/>
          <w:lang w:eastAsia="en-US"/>
        </w:rPr>
        <w:t>3) Utilité :</w:t>
      </w:r>
    </w:p>
    <w:p w:rsidR="0089059E" w:rsidRPr="00F974C9" w:rsidRDefault="0089059E" w:rsidP="001C087C">
      <w:pPr>
        <w:pStyle w:val="Titre"/>
        <w:ind w:right="1"/>
        <w:jc w:val="both"/>
        <w:rPr>
          <w:rFonts w:ascii="Calibri" w:eastAsia="Calibri" w:hAnsi="Calibri" w:cs="Times New Roman"/>
          <w:b w:val="0"/>
          <w:bCs w:val="0"/>
          <w:sz w:val="22"/>
          <w:szCs w:val="22"/>
          <w:lang w:eastAsia="en-US"/>
        </w:rPr>
      </w:pPr>
      <w:r w:rsidRPr="00F974C9">
        <w:rPr>
          <w:rFonts w:ascii="Calibri" w:eastAsia="Calibri" w:hAnsi="Calibri" w:cs="Times New Roman"/>
          <w:b w:val="0"/>
          <w:bCs w:val="0"/>
          <w:sz w:val="22"/>
          <w:szCs w:val="22"/>
          <w:lang w:eastAsia="en-US"/>
        </w:rPr>
        <w:t>En se plaçant dans le contexte des méthodes thérapeutiques, diagnostiques ou pronostiques actuelles dans le domaine de la pathologie considérée, l’expert doit se prononcer sur l’importance potentielle du résultat attendu : maladie fréquente, m</w:t>
      </w:r>
      <w:r w:rsidR="00F974C9" w:rsidRPr="00F974C9">
        <w:rPr>
          <w:rFonts w:ascii="Calibri" w:eastAsia="Calibri" w:hAnsi="Calibri" w:cs="Times New Roman"/>
          <w:b w:val="0"/>
          <w:bCs w:val="0"/>
          <w:sz w:val="22"/>
          <w:szCs w:val="22"/>
          <w:lang w:eastAsia="en-US"/>
        </w:rPr>
        <w:t>aladie rare mais insuffisamment</w:t>
      </w:r>
      <w:r w:rsidRPr="00F974C9">
        <w:rPr>
          <w:rFonts w:ascii="Calibri" w:eastAsia="Calibri" w:hAnsi="Calibri" w:cs="Times New Roman"/>
          <w:b w:val="0"/>
          <w:bCs w:val="0"/>
          <w:sz w:val="22"/>
          <w:szCs w:val="22"/>
          <w:lang w:eastAsia="en-US"/>
        </w:rPr>
        <w:t xml:space="preserve"> prise en compte, accroissement prévisible du nombre de malades, absence de méthode de traitement satisfaisante, amélioration de la prise en charge et/ou de la qualité, optimisation des coûts sont autant d’arguments en faveur de l’utilité de cette étude.</w:t>
      </w:r>
    </w:p>
    <w:p w:rsidR="0089059E" w:rsidRDefault="0089059E" w:rsidP="001C087C">
      <w:pPr>
        <w:pStyle w:val="Titre"/>
        <w:ind w:right="1"/>
        <w:jc w:val="both"/>
        <w:rPr>
          <w:rFonts w:ascii="Times New Roman" w:hAnsi="Times New Roman" w:cs="Times New Roman"/>
          <w:b w:val="0"/>
          <w:bCs w:val="0"/>
          <w:sz w:val="12"/>
        </w:rPr>
      </w:pPr>
    </w:p>
    <w:p w:rsidR="0089059E" w:rsidRPr="00F974C9" w:rsidRDefault="0089059E" w:rsidP="001C087C">
      <w:pPr>
        <w:pStyle w:val="Titre"/>
        <w:ind w:right="1"/>
        <w:jc w:val="both"/>
        <w:rPr>
          <w:rFonts w:ascii="Calibri" w:eastAsia="Calibri" w:hAnsi="Calibri" w:cs="Times New Roman"/>
          <w:b w:val="0"/>
          <w:bCs w:val="0"/>
          <w:sz w:val="22"/>
          <w:szCs w:val="22"/>
          <w:u w:val="single"/>
          <w:lang w:eastAsia="en-US"/>
        </w:rPr>
      </w:pPr>
      <w:r w:rsidRPr="00F974C9">
        <w:rPr>
          <w:rFonts w:ascii="Calibri" w:eastAsia="Calibri" w:hAnsi="Calibri" w:cs="Times New Roman"/>
          <w:b w:val="0"/>
          <w:bCs w:val="0"/>
          <w:sz w:val="22"/>
          <w:szCs w:val="22"/>
          <w:u w:val="single"/>
          <w:lang w:eastAsia="en-US"/>
        </w:rPr>
        <w:t xml:space="preserve">4) Faisabilité : </w:t>
      </w:r>
    </w:p>
    <w:p w:rsidR="0089059E" w:rsidRPr="00F974C9" w:rsidRDefault="0089059E" w:rsidP="001C087C">
      <w:pPr>
        <w:pStyle w:val="Titre"/>
        <w:ind w:right="1"/>
        <w:jc w:val="both"/>
        <w:rPr>
          <w:rFonts w:ascii="Calibri" w:eastAsia="Calibri" w:hAnsi="Calibri" w:cs="Times New Roman"/>
          <w:b w:val="0"/>
          <w:bCs w:val="0"/>
          <w:sz w:val="22"/>
          <w:szCs w:val="22"/>
          <w:lang w:eastAsia="en-US"/>
        </w:rPr>
      </w:pPr>
      <w:r w:rsidRPr="00F974C9">
        <w:rPr>
          <w:rFonts w:ascii="Calibri" w:eastAsia="Calibri" w:hAnsi="Calibri" w:cs="Times New Roman"/>
          <w:b w:val="0"/>
          <w:bCs w:val="0"/>
          <w:sz w:val="22"/>
          <w:szCs w:val="22"/>
          <w:lang w:eastAsia="en-US"/>
        </w:rPr>
        <w:t>Il faut vérifier que l’équipe est à même de mener le projet en s’assurant notamment de la qualité de ses publications antérieures. L’accord des collaborateurs participants annoncé dan</w:t>
      </w:r>
      <w:r w:rsidR="00F974C9" w:rsidRPr="00F974C9">
        <w:rPr>
          <w:rFonts w:ascii="Calibri" w:eastAsia="Calibri" w:hAnsi="Calibri" w:cs="Times New Roman"/>
          <w:b w:val="0"/>
          <w:bCs w:val="0"/>
          <w:sz w:val="22"/>
          <w:szCs w:val="22"/>
          <w:lang w:eastAsia="en-US"/>
        </w:rPr>
        <w:t>s le dossier doit être garanti.</w:t>
      </w:r>
      <w:r w:rsidR="002E2B80" w:rsidRPr="002E2B80">
        <w:t xml:space="preserve"> </w:t>
      </w:r>
      <w:r w:rsidR="002E2B80">
        <w:rPr>
          <w:rFonts w:ascii="Calibri" w:eastAsia="Calibri" w:hAnsi="Calibri" w:cs="Times New Roman"/>
          <w:b w:val="0"/>
          <w:bCs w:val="0"/>
          <w:sz w:val="22"/>
          <w:szCs w:val="22"/>
          <w:lang w:eastAsia="en-US"/>
        </w:rPr>
        <w:t>Dans les études cliniques multi</w:t>
      </w:r>
      <w:r w:rsidR="002E2B80" w:rsidRPr="002E2B80">
        <w:rPr>
          <w:rFonts w:ascii="Calibri" w:eastAsia="Calibri" w:hAnsi="Calibri" w:cs="Times New Roman"/>
          <w:b w:val="0"/>
          <w:bCs w:val="0"/>
          <w:sz w:val="22"/>
          <w:szCs w:val="22"/>
          <w:lang w:eastAsia="en-US"/>
        </w:rPr>
        <w:t>centr</w:t>
      </w:r>
      <w:r w:rsidR="002E2B80">
        <w:rPr>
          <w:rFonts w:ascii="Calibri" w:eastAsia="Calibri" w:hAnsi="Calibri" w:cs="Times New Roman"/>
          <w:b w:val="0"/>
          <w:bCs w:val="0"/>
          <w:sz w:val="22"/>
          <w:szCs w:val="22"/>
          <w:lang w:eastAsia="en-US"/>
        </w:rPr>
        <w:t>iques, il faut s’assurer d</w:t>
      </w:r>
      <w:r w:rsidR="002E2B80" w:rsidRPr="002E2B80">
        <w:rPr>
          <w:rFonts w:ascii="Calibri" w:eastAsia="Calibri" w:hAnsi="Calibri" w:cs="Times New Roman"/>
          <w:b w:val="0"/>
          <w:bCs w:val="0"/>
          <w:sz w:val="22"/>
          <w:szCs w:val="22"/>
          <w:lang w:eastAsia="en-US"/>
        </w:rPr>
        <w:t>es capacités d’inclusion des patients (fréquence de la pathologie, critères d</w:t>
      </w:r>
      <w:r w:rsidR="002E2B80">
        <w:rPr>
          <w:rFonts w:ascii="Calibri" w:eastAsia="Calibri" w:hAnsi="Calibri" w:cs="Times New Roman"/>
          <w:b w:val="0"/>
          <w:bCs w:val="0"/>
          <w:sz w:val="22"/>
          <w:szCs w:val="22"/>
          <w:lang w:eastAsia="en-US"/>
        </w:rPr>
        <w:t>’inclusions et d’exclusions, et</w:t>
      </w:r>
      <w:r w:rsidR="002E2B80" w:rsidRPr="002E2B80">
        <w:rPr>
          <w:rFonts w:ascii="Calibri" w:eastAsia="Calibri" w:hAnsi="Calibri" w:cs="Times New Roman"/>
          <w:b w:val="0"/>
          <w:bCs w:val="0"/>
          <w:sz w:val="22"/>
          <w:szCs w:val="22"/>
          <w:lang w:eastAsia="en-US"/>
        </w:rPr>
        <w:t>c…).</w:t>
      </w:r>
    </w:p>
    <w:p w:rsidR="0089059E" w:rsidRDefault="0089059E" w:rsidP="001C087C">
      <w:pPr>
        <w:pStyle w:val="Titre"/>
        <w:ind w:right="1"/>
        <w:jc w:val="both"/>
        <w:rPr>
          <w:rFonts w:ascii="Times New Roman" w:hAnsi="Times New Roman" w:cs="Times New Roman"/>
          <w:b w:val="0"/>
          <w:bCs w:val="0"/>
          <w:sz w:val="12"/>
        </w:rPr>
      </w:pPr>
    </w:p>
    <w:p w:rsidR="0089059E" w:rsidRPr="00F974C9" w:rsidRDefault="00F974C9" w:rsidP="001C087C">
      <w:pPr>
        <w:pStyle w:val="Titre"/>
        <w:ind w:right="1"/>
        <w:jc w:val="both"/>
        <w:rPr>
          <w:rFonts w:ascii="Calibri" w:eastAsia="Calibri" w:hAnsi="Calibri" w:cs="Times New Roman"/>
          <w:b w:val="0"/>
          <w:bCs w:val="0"/>
          <w:sz w:val="22"/>
          <w:szCs w:val="22"/>
          <w:u w:val="single"/>
          <w:lang w:eastAsia="en-US"/>
        </w:rPr>
      </w:pPr>
      <w:r>
        <w:rPr>
          <w:rFonts w:ascii="Calibri" w:eastAsia="Calibri" w:hAnsi="Calibri" w:cs="Times New Roman"/>
          <w:b w:val="0"/>
          <w:bCs w:val="0"/>
          <w:sz w:val="22"/>
          <w:szCs w:val="22"/>
          <w:u w:val="single"/>
          <w:lang w:eastAsia="en-US"/>
        </w:rPr>
        <w:t>5</w:t>
      </w:r>
      <w:r w:rsidR="0089059E" w:rsidRPr="00F974C9">
        <w:rPr>
          <w:rFonts w:ascii="Calibri" w:eastAsia="Calibri" w:hAnsi="Calibri" w:cs="Times New Roman"/>
          <w:b w:val="0"/>
          <w:bCs w:val="0"/>
          <w:sz w:val="22"/>
          <w:szCs w:val="22"/>
          <w:u w:val="single"/>
          <w:lang w:eastAsia="en-US"/>
        </w:rPr>
        <w:t>) Aspects Financiers :</w:t>
      </w:r>
    </w:p>
    <w:p w:rsidR="0089059E" w:rsidRPr="00F974C9" w:rsidRDefault="0089059E" w:rsidP="001C087C">
      <w:pPr>
        <w:pStyle w:val="Titre"/>
        <w:ind w:right="1"/>
        <w:jc w:val="both"/>
        <w:rPr>
          <w:rFonts w:ascii="Calibri" w:eastAsia="Calibri" w:hAnsi="Calibri" w:cs="Times New Roman"/>
          <w:b w:val="0"/>
          <w:bCs w:val="0"/>
          <w:sz w:val="22"/>
          <w:szCs w:val="22"/>
          <w:lang w:eastAsia="en-US"/>
        </w:rPr>
      </w:pPr>
      <w:r w:rsidRPr="00F974C9">
        <w:rPr>
          <w:rFonts w:ascii="Calibri" w:eastAsia="Calibri" w:hAnsi="Calibri" w:cs="Times New Roman"/>
          <w:b w:val="0"/>
          <w:bCs w:val="0"/>
          <w:sz w:val="22"/>
          <w:szCs w:val="22"/>
          <w:lang w:eastAsia="en-US"/>
        </w:rPr>
        <w:t>La somme d’argent doit être analysée et des propositions de corr</w:t>
      </w:r>
      <w:r w:rsidR="00F974C9" w:rsidRPr="00F974C9">
        <w:rPr>
          <w:rFonts w:ascii="Calibri" w:eastAsia="Calibri" w:hAnsi="Calibri" w:cs="Times New Roman"/>
          <w:b w:val="0"/>
          <w:bCs w:val="0"/>
          <w:sz w:val="22"/>
          <w:szCs w:val="22"/>
          <w:lang w:eastAsia="en-US"/>
        </w:rPr>
        <w:t>ections peuvent être effectuées sur la base du tableau de financement qui doit être fourni.</w:t>
      </w:r>
    </w:p>
    <w:sectPr w:rsidR="0089059E" w:rsidRPr="00F974C9" w:rsidSect="001C087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9E"/>
    <w:rsid w:val="001C087C"/>
    <w:rsid w:val="002E2B80"/>
    <w:rsid w:val="003250DE"/>
    <w:rsid w:val="007412A5"/>
    <w:rsid w:val="0089059E"/>
    <w:rsid w:val="00984144"/>
    <w:rsid w:val="00A66D8A"/>
    <w:rsid w:val="00BB6C5E"/>
    <w:rsid w:val="00D327D4"/>
    <w:rsid w:val="00E71FA5"/>
    <w:rsid w:val="00F97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qFormat/>
    <w:rsid w:val="0089059E"/>
    <w:pPr>
      <w:keepNext/>
      <w:spacing w:after="0" w:line="240" w:lineRule="auto"/>
      <w:jc w:val="center"/>
      <w:outlineLvl w:val="1"/>
    </w:pPr>
    <w:rPr>
      <w:rFonts w:ascii="Times New Roman" w:eastAsia="Times New Roman" w:hAnsi="Times New Roman"/>
      <w:b/>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9059E"/>
    <w:rPr>
      <w:rFonts w:ascii="Times New Roman" w:eastAsia="Times New Roman" w:hAnsi="Times New Roman"/>
      <w:b/>
      <w:sz w:val="40"/>
    </w:rPr>
  </w:style>
  <w:style w:type="paragraph" w:styleId="Titre">
    <w:name w:val="Title"/>
    <w:basedOn w:val="Normal"/>
    <w:link w:val="TitreCar"/>
    <w:qFormat/>
    <w:rsid w:val="0089059E"/>
    <w:pPr>
      <w:spacing w:after="0" w:line="240" w:lineRule="auto"/>
      <w:jc w:val="center"/>
    </w:pPr>
    <w:rPr>
      <w:rFonts w:ascii="Monotype Corsiva" w:eastAsia="Times New Roman" w:hAnsi="Monotype Corsiva" w:cs="Arial"/>
      <w:b/>
      <w:bCs/>
      <w:sz w:val="36"/>
      <w:szCs w:val="24"/>
      <w:lang w:eastAsia="fr-FR"/>
    </w:rPr>
  </w:style>
  <w:style w:type="character" w:customStyle="1" w:styleId="TitreCar">
    <w:name w:val="Titre Car"/>
    <w:link w:val="Titre"/>
    <w:rsid w:val="0089059E"/>
    <w:rPr>
      <w:rFonts w:ascii="Monotype Corsiva" w:eastAsia="Times New Roman" w:hAnsi="Monotype Corsiva" w:cs="Arial"/>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qFormat/>
    <w:rsid w:val="0089059E"/>
    <w:pPr>
      <w:keepNext/>
      <w:spacing w:after="0" w:line="240" w:lineRule="auto"/>
      <w:jc w:val="center"/>
      <w:outlineLvl w:val="1"/>
    </w:pPr>
    <w:rPr>
      <w:rFonts w:ascii="Times New Roman" w:eastAsia="Times New Roman" w:hAnsi="Times New Roman"/>
      <w:b/>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9059E"/>
    <w:rPr>
      <w:rFonts w:ascii="Times New Roman" w:eastAsia="Times New Roman" w:hAnsi="Times New Roman"/>
      <w:b/>
      <w:sz w:val="40"/>
    </w:rPr>
  </w:style>
  <w:style w:type="paragraph" w:styleId="Titre">
    <w:name w:val="Title"/>
    <w:basedOn w:val="Normal"/>
    <w:link w:val="TitreCar"/>
    <w:qFormat/>
    <w:rsid w:val="0089059E"/>
    <w:pPr>
      <w:spacing w:after="0" w:line="240" w:lineRule="auto"/>
      <w:jc w:val="center"/>
    </w:pPr>
    <w:rPr>
      <w:rFonts w:ascii="Monotype Corsiva" w:eastAsia="Times New Roman" w:hAnsi="Monotype Corsiva" w:cs="Arial"/>
      <w:b/>
      <w:bCs/>
      <w:sz w:val="36"/>
      <w:szCs w:val="24"/>
      <w:lang w:eastAsia="fr-FR"/>
    </w:rPr>
  </w:style>
  <w:style w:type="character" w:customStyle="1" w:styleId="TitreCar">
    <w:name w:val="Titre Car"/>
    <w:link w:val="Titre"/>
    <w:rsid w:val="0089059E"/>
    <w:rPr>
      <w:rFonts w:ascii="Monotype Corsiva" w:eastAsia="Times New Roman" w:hAnsi="Monotype Corsiva"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d'Angers</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PODEVIN GUILLAUME</dc:creator>
  <cp:lastModifiedBy>PODEVIN GUILLAUME</cp:lastModifiedBy>
  <cp:revision>2</cp:revision>
  <dcterms:created xsi:type="dcterms:W3CDTF">2021-05-01T15:49:00Z</dcterms:created>
  <dcterms:modified xsi:type="dcterms:W3CDTF">2021-05-01T15:49:00Z</dcterms:modified>
</cp:coreProperties>
</file>